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202</w:t>
      </w:r>
      <w:r>
        <w:rPr>
          <w:rFonts w:hint="eastAsia" w:ascii="仿宋_GB2312" w:hAnsi="仿宋_GB2312" w:eastAsia="仿宋_GB2312" w:cs="仿宋_GB2312"/>
          <w:sz w:val="44"/>
          <w:szCs w:val="44"/>
          <w:lang w:val="en-US" w:eastAsia="zh-CN"/>
        </w:rPr>
        <w:t>4</w:t>
      </w:r>
      <w:r>
        <w:rPr>
          <w:rFonts w:hint="eastAsia" w:ascii="仿宋_GB2312" w:hAnsi="仿宋_GB2312" w:eastAsia="仿宋_GB2312" w:cs="仿宋_GB2312"/>
          <w:sz w:val="44"/>
          <w:szCs w:val="44"/>
        </w:rPr>
        <w:t>年度</w:t>
      </w:r>
      <w:r>
        <w:rPr>
          <w:rFonts w:hint="eastAsia" w:ascii="仿宋_GB2312" w:hAnsi="仿宋_GB2312" w:eastAsia="仿宋_GB2312" w:cs="仿宋_GB2312"/>
          <w:sz w:val="44"/>
          <w:szCs w:val="44"/>
          <w:lang w:val="en-US" w:eastAsia="zh-CN"/>
        </w:rPr>
        <w:t>岳阳市农业农村局</w:t>
      </w:r>
      <w:r>
        <w:rPr>
          <w:rFonts w:hint="eastAsia" w:ascii="仿宋_GB2312" w:hAnsi="仿宋_GB2312" w:eastAsia="仿宋_GB2312" w:cs="仿宋_GB2312"/>
          <w:sz w:val="44"/>
          <w:szCs w:val="44"/>
        </w:rPr>
        <w:t>整体支出</w:t>
      </w:r>
    </w:p>
    <w:p>
      <w:pPr>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绩效自评报告</w:t>
      </w:r>
    </w:p>
    <w:p>
      <w:pPr>
        <w:jc w:val="center"/>
        <w:rPr>
          <w:rFonts w:hint="eastAsia" w:ascii="仿宋_GB2312" w:hAnsi="仿宋_GB2312" w:eastAsia="仿宋_GB2312" w:cs="仿宋_GB2312"/>
          <w:b/>
          <w:sz w:val="28"/>
          <w:szCs w:val="28"/>
        </w:rPr>
      </w:pPr>
    </w:p>
    <w:p>
      <w:pPr>
        <w:jc w:val="center"/>
        <w:rPr>
          <w:rFonts w:hint="eastAsia" w:ascii="仿宋_GB2312" w:hAnsi="仿宋_GB2312" w:eastAsia="仿宋_GB2312" w:cs="仿宋_GB2312"/>
          <w:b/>
          <w:sz w:val="28"/>
          <w:szCs w:val="28"/>
        </w:rPr>
      </w:pPr>
    </w:p>
    <w:p>
      <w:pPr>
        <w:jc w:val="both"/>
        <w:rPr>
          <w:rFonts w:hint="eastAsia" w:ascii="仿宋_GB2312" w:hAnsi="仿宋_GB2312" w:eastAsia="仿宋_GB2312" w:cs="仿宋_GB2312"/>
          <w:b/>
          <w:sz w:val="28"/>
          <w:szCs w:val="28"/>
        </w:rPr>
      </w:pPr>
    </w:p>
    <w:p>
      <w:pPr>
        <w:jc w:val="center"/>
        <w:rPr>
          <w:rFonts w:hint="eastAsia" w:ascii="仿宋_GB2312" w:hAnsi="仿宋_GB2312" w:eastAsia="仿宋_GB2312" w:cs="仿宋_GB2312"/>
          <w:b/>
          <w:sz w:val="28"/>
          <w:szCs w:val="28"/>
        </w:rPr>
      </w:pPr>
    </w:p>
    <w:p>
      <w:pPr>
        <w:jc w:val="center"/>
        <w:rPr>
          <w:rFonts w:hint="eastAsia" w:ascii="仿宋_GB2312" w:hAnsi="仿宋_GB2312" w:eastAsia="仿宋_GB2312" w:cs="仿宋_GB2312"/>
          <w:b/>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spacing w:line="6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部门（单位）名称：</w:t>
      </w:r>
      <w:r>
        <w:rPr>
          <w:rFonts w:hint="eastAsia" w:ascii="仿宋_GB2312" w:hAnsi="仿宋_GB2312" w:eastAsia="仿宋_GB2312" w:cs="仿宋_GB2312"/>
          <w:sz w:val="28"/>
          <w:szCs w:val="28"/>
          <w:u w:val="single"/>
        </w:rPr>
        <w:t>（盖章）</w:t>
      </w:r>
    </w:p>
    <w:p>
      <w:pPr>
        <w:spacing w:line="600" w:lineRule="exact"/>
        <w:jc w:val="center"/>
        <w:rPr>
          <w:rFonts w:hint="eastAsia" w:ascii="仿宋_GB2312" w:hAnsi="仿宋_GB2312" w:eastAsia="仿宋_GB2312" w:cs="仿宋_GB2312"/>
          <w:sz w:val="40"/>
          <w:szCs w:val="40"/>
        </w:rPr>
      </w:pPr>
      <w:r>
        <w:rPr>
          <w:rFonts w:hint="eastAsia" w:ascii="仿宋_GB2312" w:hAnsi="仿宋_GB2312" w:eastAsia="仿宋_GB2312" w:cs="仿宋_GB2312"/>
          <w:sz w:val="28"/>
          <w:szCs w:val="28"/>
          <w:lang w:val="en-US" w:eastAsia="zh-CN"/>
        </w:rPr>
        <w:t>2024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rPr>
        <w:br w:type="page"/>
      </w:r>
      <w:r>
        <w:rPr>
          <w:rFonts w:hint="eastAsia" w:ascii="仿宋_GB2312" w:hAnsi="仿宋_GB2312" w:eastAsia="仿宋_GB2312" w:cs="仿宋_GB2312"/>
          <w:sz w:val="40"/>
          <w:szCs w:val="40"/>
        </w:rPr>
        <w:t>202</w:t>
      </w:r>
      <w:r>
        <w:rPr>
          <w:rFonts w:hint="eastAsia" w:ascii="仿宋_GB2312" w:hAnsi="仿宋_GB2312" w:eastAsia="仿宋_GB2312" w:cs="仿宋_GB2312"/>
          <w:sz w:val="40"/>
          <w:szCs w:val="40"/>
          <w:lang w:val="en-US" w:eastAsia="zh-CN"/>
        </w:rPr>
        <w:t>4</w:t>
      </w:r>
      <w:r>
        <w:rPr>
          <w:rFonts w:hint="eastAsia" w:ascii="仿宋_GB2312" w:hAnsi="仿宋_GB2312" w:eastAsia="仿宋_GB2312" w:cs="仿宋_GB2312"/>
          <w:sz w:val="40"/>
          <w:szCs w:val="40"/>
        </w:rPr>
        <w:t>年度</w:t>
      </w:r>
      <w:r>
        <w:rPr>
          <w:rFonts w:hint="eastAsia" w:ascii="仿宋_GB2312" w:hAnsi="仿宋_GB2312" w:eastAsia="仿宋_GB2312" w:cs="仿宋_GB2312"/>
          <w:sz w:val="40"/>
          <w:szCs w:val="40"/>
          <w:lang w:val="en-US" w:eastAsia="zh-CN"/>
        </w:rPr>
        <w:t>岳阳市农业农村局</w:t>
      </w:r>
      <w:r>
        <w:rPr>
          <w:rFonts w:hint="eastAsia" w:ascii="仿宋_GB2312" w:hAnsi="仿宋_GB2312" w:eastAsia="仿宋_GB2312" w:cs="仿宋_GB2312"/>
          <w:sz w:val="40"/>
          <w:szCs w:val="40"/>
        </w:rPr>
        <w:t>整体支出</w:t>
      </w:r>
    </w:p>
    <w:p>
      <w:pPr>
        <w:jc w:val="center"/>
        <w:rPr>
          <w:rFonts w:hint="eastAsia" w:ascii="仿宋_GB2312" w:hAnsi="仿宋_GB2312" w:eastAsia="仿宋_GB2312" w:cs="仿宋_GB2312"/>
          <w:sz w:val="40"/>
          <w:szCs w:val="40"/>
        </w:rPr>
      </w:pPr>
      <w:r>
        <w:rPr>
          <w:rFonts w:hint="eastAsia" w:ascii="仿宋_GB2312" w:hAnsi="仿宋_GB2312" w:eastAsia="仿宋_GB2312" w:cs="仿宋_GB2312"/>
          <w:sz w:val="40"/>
          <w:szCs w:val="40"/>
        </w:rPr>
        <w:t>绩效自评报告</w:t>
      </w:r>
    </w:p>
    <w:p>
      <w:pPr>
        <w:keepNext w:val="0"/>
        <w:keepLines w:val="0"/>
        <w:pageBreakBefore w:val="0"/>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p>
    <w:p>
      <w:pPr>
        <w:keepNext w:val="0"/>
        <w:keepLines w:val="0"/>
        <w:pageBreakBefore w:val="0"/>
        <w:numPr>
          <w:ilvl w:val="0"/>
          <w:numId w:val="1"/>
        </w:numPr>
        <w:kinsoku/>
        <w:wordWrap/>
        <w:overflowPunct/>
        <w:topLinePunct w:val="0"/>
        <w:autoSpaceDE/>
        <w:autoSpaceDN/>
        <w:bidi w:val="0"/>
        <w:adjustRightInd/>
        <w:snapToGrid/>
        <w:spacing w:line="640" w:lineRule="exact"/>
        <w:ind w:left="-80" w:leftChars="0" w:firstLine="640" w:firstLineChars="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单位</w:t>
      </w:r>
      <w:r>
        <w:rPr>
          <w:rFonts w:hint="eastAsia" w:ascii="仿宋_GB2312" w:hAnsi="仿宋_GB2312" w:eastAsia="仿宋_GB2312" w:cs="仿宋_GB2312"/>
          <w:b/>
          <w:bCs/>
          <w:sz w:val="28"/>
          <w:szCs w:val="28"/>
        </w:rPr>
        <w:t>基本情况</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rPr>
        <w:t>根据《中共岳阳市委办公室、岳阳市人民政府办公室关于印发&lt;岳阳市农业农村局职能配置、内设机构和人员编制规定&gt;的通知》（岳办〔2019〕53号），岳阳市农业农村局是市人民政府工作部门，为正处级。市委农村工作领导小组办公室设在市农业农村局。核定市农业农村局机关编制</w:t>
      </w:r>
      <w:r>
        <w:rPr>
          <w:rFonts w:hint="eastAsia" w:ascii="仿宋_GB2312" w:hAnsi="仿宋_GB2312" w:eastAsia="仿宋_GB2312" w:cs="仿宋_GB2312"/>
          <w:b w:val="0"/>
          <w:bCs w:val="0"/>
          <w:sz w:val="28"/>
          <w:szCs w:val="28"/>
          <w:lang w:val="en-US" w:eastAsia="zh-CN"/>
        </w:rPr>
        <w:t>79</w:t>
      </w:r>
      <w:r>
        <w:rPr>
          <w:rFonts w:hint="eastAsia" w:ascii="仿宋_GB2312" w:hAnsi="仿宋_GB2312" w:eastAsia="仿宋_GB2312" w:cs="仿宋_GB2312"/>
          <w:b w:val="0"/>
          <w:bCs w:val="0"/>
          <w:sz w:val="28"/>
          <w:szCs w:val="28"/>
        </w:rPr>
        <w:t>名。</w:t>
      </w:r>
      <w:r>
        <w:rPr>
          <w:rFonts w:hint="eastAsia" w:ascii="仿宋_GB2312" w:hAnsi="仿宋_GB2312" w:eastAsia="仿宋_GB2312" w:cs="仿宋_GB2312"/>
          <w:b w:val="0"/>
          <w:bCs w:val="0"/>
          <w:sz w:val="28"/>
          <w:szCs w:val="28"/>
          <w:highlight w:val="none"/>
        </w:rPr>
        <w:t>202</w:t>
      </w:r>
      <w:r>
        <w:rPr>
          <w:rFonts w:hint="eastAsia" w:ascii="仿宋_GB2312" w:hAnsi="仿宋_GB2312" w:eastAsia="仿宋_GB2312" w:cs="仿宋_GB2312"/>
          <w:b w:val="0"/>
          <w:bCs w:val="0"/>
          <w:sz w:val="28"/>
          <w:szCs w:val="28"/>
          <w:highlight w:val="none"/>
          <w:lang w:val="en-US" w:eastAsia="zh-CN"/>
        </w:rPr>
        <w:t>4</w:t>
      </w:r>
      <w:r>
        <w:rPr>
          <w:rFonts w:hint="eastAsia" w:ascii="仿宋_GB2312" w:hAnsi="仿宋_GB2312" w:eastAsia="仿宋_GB2312" w:cs="仿宋_GB2312"/>
          <w:b w:val="0"/>
          <w:bCs w:val="0"/>
          <w:sz w:val="28"/>
          <w:szCs w:val="28"/>
          <w:highlight w:val="none"/>
        </w:rPr>
        <w:t>年末，我局机关实有人员</w:t>
      </w:r>
      <w:r>
        <w:rPr>
          <w:rFonts w:hint="eastAsia" w:ascii="仿宋_GB2312" w:hAnsi="仿宋_GB2312" w:eastAsia="仿宋_GB2312" w:cs="仿宋_GB2312"/>
          <w:b w:val="0"/>
          <w:bCs w:val="0"/>
          <w:sz w:val="28"/>
          <w:szCs w:val="28"/>
          <w:highlight w:val="none"/>
          <w:lang w:val="en-US" w:eastAsia="zh-CN"/>
        </w:rPr>
        <w:t>336</w:t>
      </w:r>
      <w:r>
        <w:rPr>
          <w:rFonts w:hint="eastAsia" w:ascii="仿宋_GB2312" w:hAnsi="仿宋_GB2312" w:eastAsia="仿宋_GB2312" w:cs="仿宋_GB2312"/>
          <w:b w:val="0"/>
          <w:bCs w:val="0"/>
          <w:sz w:val="28"/>
          <w:szCs w:val="28"/>
          <w:highlight w:val="none"/>
        </w:rPr>
        <w:t>人，其中在职人员</w:t>
      </w:r>
      <w:r>
        <w:rPr>
          <w:rFonts w:hint="eastAsia" w:ascii="仿宋_GB2312" w:hAnsi="仿宋_GB2312" w:eastAsia="仿宋_GB2312" w:cs="仿宋_GB2312"/>
          <w:b w:val="0"/>
          <w:bCs w:val="0"/>
          <w:sz w:val="28"/>
          <w:szCs w:val="28"/>
          <w:highlight w:val="none"/>
          <w:lang w:val="en-US" w:eastAsia="zh-CN"/>
        </w:rPr>
        <w:t>93</w:t>
      </w:r>
      <w:r>
        <w:rPr>
          <w:rFonts w:hint="eastAsia" w:ascii="仿宋_GB2312" w:hAnsi="仿宋_GB2312" w:eastAsia="仿宋_GB2312" w:cs="仿宋_GB2312"/>
          <w:b w:val="0"/>
          <w:bCs w:val="0"/>
          <w:sz w:val="28"/>
          <w:szCs w:val="28"/>
          <w:highlight w:val="none"/>
        </w:rPr>
        <w:t>人、离休人员</w:t>
      </w:r>
      <w:r>
        <w:rPr>
          <w:rFonts w:hint="eastAsia" w:ascii="仿宋_GB2312" w:hAnsi="仿宋_GB2312" w:eastAsia="仿宋_GB2312" w:cs="仿宋_GB2312"/>
          <w:b w:val="0"/>
          <w:bCs w:val="0"/>
          <w:sz w:val="28"/>
          <w:szCs w:val="28"/>
          <w:highlight w:val="none"/>
          <w:lang w:val="en-US" w:eastAsia="zh-CN"/>
        </w:rPr>
        <w:t>1</w:t>
      </w:r>
      <w:r>
        <w:rPr>
          <w:rFonts w:hint="eastAsia" w:ascii="仿宋_GB2312" w:hAnsi="仿宋_GB2312" w:eastAsia="仿宋_GB2312" w:cs="仿宋_GB2312"/>
          <w:b w:val="0"/>
          <w:bCs w:val="0"/>
          <w:sz w:val="28"/>
          <w:szCs w:val="28"/>
          <w:highlight w:val="none"/>
        </w:rPr>
        <w:t>人、退休人员</w:t>
      </w:r>
      <w:r>
        <w:rPr>
          <w:rFonts w:hint="eastAsia" w:ascii="仿宋_GB2312" w:hAnsi="仿宋_GB2312" w:eastAsia="仿宋_GB2312" w:cs="仿宋_GB2312"/>
          <w:b w:val="0"/>
          <w:bCs w:val="0"/>
          <w:sz w:val="28"/>
          <w:szCs w:val="28"/>
          <w:highlight w:val="none"/>
          <w:lang w:val="en-US" w:eastAsia="zh-CN"/>
        </w:rPr>
        <w:t>242</w:t>
      </w:r>
      <w:r>
        <w:rPr>
          <w:rFonts w:hint="eastAsia" w:ascii="仿宋_GB2312" w:hAnsi="仿宋_GB2312" w:eastAsia="仿宋_GB2312" w:cs="仿宋_GB2312"/>
          <w:b w:val="0"/>
          <w:bCs w:val="0"/>
          <w:sz w:val="28"/>
          <w:szCs w:val="28"/>
          <w:highlight w:val="none"/>
        </w:rPr>
        <w:t>人。</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内设科室分别是办公室（行政审批办公室）、</w:t>
      </w:r>
      <w:r>
        <w:rPr>
          <w:rFonts w:hint="eastAsia" w:ascii="仿宋_GB2312" w:hAnsi="仿宋_GB2312" w:eastAsia="仿宋_GB2312" w:cs="仿宋_GB2312"/>
          <w:b w:val="0"/>
          <w:bCs w:val="0"/>
          <w:sz w:val="28"/>
          <w:szCs w:val="28"/>
          <w:lang w:val="en-US" w:eastAsia="zh-CN"/>
        </w:rPr>
        <w:t>政策</w:t>
      </w:r>
      <w:r>
        <w:rPr>
          <w:rFonts w:hint="eastAsia" w:ascii="仿宋_GB2312" w:hAnsi="仿宋_GB2312" w:eastAsia="仿宋_GB2312" w:cs="仿宋_GB2312"/>
          <w:b w:val="0"/>
          <w:bCs w:val="0"/>
          <w:sz w:val="28"/>
          <w:szCs w:val="28"/>
        </w:rPr>
        <w:t>改革科、法规</w:t>
      </w:r>
      <w:r>
        <w:rPr>
          <w:rFonts w:hint="eastAsia" w:ascii="仿宋_GB2312" w:hAnsi="仿宋_GB2312" w:eastAsia="仿宋_GB2312" w:cs="仿宋_GB2312"/>
          <w:b w:val="0"/>
          <w:bCs w:val="0"/>
          <w:sz w:val="28"/>
          <w:szCs w:val="28"/>
          <w:lang w:val="en-US" w:eastAsia="zh-CN"/>
        </w:rPr>
        <w:t>科、</w:t>
      </w:r>
      <w:r>
        <w:rPr>
          <w:rFonts w:hint="eastAsia" w:ascii="仿宋_GB2312" w:hAnsi="仿宋_GB2312" w:eastAsia="仿宋_GB2312" w:cs="仿宋_GB2312"/>
          <w:b w:val="0"/>
          <w:bCs w:val="0"/>
          <w:sz w:val="28"/>
          <w:szCs w:val="28"/>
        </w:rPr>
        <w:t>发展规划科、计划财务科、乡村振兴工作办公室、乡村产业发展科、农村社会事业促进科、农村合作经济指导科、市场信息与对外交流科、科技教育科（市农业转基因生物安全管理办公室）、农业资源保护与利用科、农产品质量安全监管科、种植业管理科（农药管理科）、畜牧兽医科、渔业渔政管理科、种业管理科、农业机械化管理科、农田建设与农垦科、人事科、机关党委（纪委）、离退休人员管理服务科。</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val="0"/>
          <w:bCs w:val="0"/>
          <w:kern w:val="0"/>
          <w:sz w:val="28"/>
          <w:szCs w:val="28"/>
          <w:lang w:val="en-US" w:eastAsia="zh-CN" w:bidi="ar-SA"/>
        </w:rPr>
        <w:t>主要工作职能包括：统筹研究和组织实施“三农”工作的发展中长期规划、重大政策。统筹推进发展农村社会事业、农村公共服务、农村文化、农村基础设施和乡村治理。贯彻执行国家、省关于深化农村经济体制改革和巩固完善农村基本经营制度的政策。指导乡村特色产业、农产品加工业、休闲农业和乡镇企业发展工作。负责种植业、畜牧业、渔业、农垦、农业机械化等农业各产业的监督管理。负责农产品质量安全监督管理。组织农业资源区划工作。负责有关农业生产资料和农业投入品的监督管理。负责农业防灾减灾、农作物重大病虫害防治工作。负责农业投资管理。推动农业科技体制改革和农业科技创新体系建设。指导农业农村人才工作。组织参与农业对外合作工作。完成市委、市政府和市委农村工作领导小组交办的其他任务。</w:t>
      </w:r>
    </w:p>
    <w:p>
      <w:pPr>
        <w:pStyle w:val="11"/>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二、一般公共预算支出情况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（一）基本支出情况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val="0"/>
          <w:bCs w:val="0"/>
          <w:kern w:val="0"/>
          <w:sz w:val="28"/>
          <w:szCs w:val="28"/>
          <w:highlight w:val="none"/>
          <w:lang w:val="en-US" w:eastAsia="zh-CN" w:bidi="ar-SA"/>
        </w:rPr>
        <w:t>2024年基本支出本年收入2990.17万元，上年结转结余0.16万元，全年收入为2990.33万元。基本支出数为2990.17万元（含人员经费2702.80万元，公用经费287.37万元），其中：工资福利支出1569.70万元，商品和服务支出287.37万元，对个人和家庭的补助1133.10万元，资本性支出0万元，年末结转结余0.16万元。</w:t>
      </w:r>
    </w:p>
    <w:p>
      <w:pPr>
        <w:pStyle w:val="11"/>
        <w:keepNext w:val="0"/>
        <w:keepLines w:val="0"/>
        <w:pageBreakBefore w:val="0"/>
        <w:widowControl/>
        <w:numPr>
          <w:ilvl w:val="0"/>
          <w:numId w:val="2"/>
        </w:numPr>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项目支出情况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val="0"/>
          <w:bCs w:val="0"/>
          <w:kern w:val="0"/>
          <w:sz w:val="28"/>
          <w:szCs w:val="28"/>
          <w:highlight w:val="none"/>
          <w:lang w:val="en-US" w:eastAsia="zh-CN" w:bidi="ar-SA"/>
        </w:rPr>
      </w:pPr>
      <w:r>
        <w:rPr>
          <w:rFonts w:hint="eastAsia" w:ascii="仿宋_GB2312" w:hAnsi="仿宋_GB2312" w:eastAsia="仿宋_GB2312" w:cs="仿宋_GB2312"/>
          <w:b w:val="0"/>
          <w:bCs w:val="0"/>
          <w:kern w:val="0"/>
          <w:sz w:val="28"/>
          <w:szCs w:val="28"/>
          <w:highlight w:val="none"/>
          <w:lang w:val="en-US" w:eastAsia="zh-CN" w:bidi="ar-SA"/>
        </w:rPr>
        <w:t>2024年项目支出本年收入为1406.63万元，上年结转结余0.04万元，全年收入1406.67万元。项目支出数1404.73万元，其中工资福利支出106.38万元，商品和服务支出1007.67万元，对个人和家庭的补助136.92万元，资本性支出0.46万元，对企业的补助153.30万元，年末结转结余1.94万元。</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left="560" w:leftChars="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政府性基金预算支出情况</w:t>
      </w:r>
    </w:p>
    <w:p>
      <w:pPr>
        <w:pStyle w:val="11"/>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val="0"/>
          <w:bCs w:val="0"/>
          <w:kern w:val="0"/>
          <w:sz w:val="28"/>
          <w:szCs w:val="28"/>
          <w:lang w:val="en-US" w:eastAsia="zh-CN" w:bidi="ar-SA"/>
        </w:rPr>
        <w:t>2024年无政府性基金预算。</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left="560" w:leftChars="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rPr>
        <w:t>国有资本经营预算支出情况</w:t>
      </w:r>
    </w:p>
    <w:p>
      <w:pPr>
        <w:pStyle w:val="11"/>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val="0"/>
          <w:bCs w:val="0"/>
          <w:kern w:val="0"/>
          <w:sz w:val="28"/>
          <w:szCs w:val="28"/>
          <w:lang w:val="en-US" w:eastAsia="zh-CN" w:bidi="ar-SA"/>
        </w:rPr>
        <w:t>2024年无国有资本经营预算。</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left="560" w:leftChars="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五、</w:t>
      </w:r>
      <w:r>
        <w:rPr>
          <w:rFonts w:hint="eastAsia" w:ascii="仿宋_GB2312" w:hAnsi="仿宋_GB2312" w:eastAsia="仿宋_GB2312" w:cs="仿宋_GB2312"/>
          <w:b/>
          <w:bCs/>
          <w:sz w:val="28"/>
          <w:szCs w:val="28"/>
        </w:rPr>
        <w:t>社会保险基金预算支出情况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val="0"/>
          <w:kern w:val="0"/>
          <w:sz w:val="28"/>
          <w:szCs w:val="28"/>
          <w:lang w:val="en-US" w:eastAsia="zh-CN" w:bidi="ar-SA"/>
        </w:rPr>
        <w:t>2024年无社会保险基金预算。</w:t>
      </w:r>
    </w:p>
    <w:p>
      <w:pPr>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六、部门整体支出绩效情况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val="0"/>
          <w:bCs w:val="0"/>
          <w:kern w:val="0"/>
          <w:sz w:val="28"/>
          <w:szCs w:val="28"/>
          <w:lang w:val="en-US" w:eastAsia="zh-CN" w:bidi="ar-SA"/>
        </w:rPr>
        <w:t>2024年，我局根据中央、省、市重点任务目标，年度工作计划等要求，认真履行职责，较好完成了年初确定的各项工作任务。根据《部门整体支出绩效自评表》自评分</w:t>
      </w:r>
      <w:r>
        <w:rPr>
          <w:rFonts w:hint="eastAsia" w:ascii="仿宋_GB2312" w:hAnsi="仿宋_GB2312" w:eastAsia="仿宋_GB2312" w:cs="仿宋_GB2312"/>
          <w:b w:val="0"/>
          <w:bCs w:val="0"/>
          <w:color w:val="auto"/>
          <w:kern w:val="0"/>
          <w:sz w:val="28"/>
          <w:szCs w:val="28"/>
          <w:highlight w:val="none"/>
          <w:lang w:val="en-US" w:eastAsia="zh-CN" w:bidi="ar-SA"/>
        </w:rPr>
        <w:t>99.5</w:t>
      </w:r>
      <w:r>
        <w:rPr>
          <w:rFonts w:hint="eastAsia" w:ascii="仿宋_GB2312" w:hAnsi="仿宋_GB2312" w:eastAsia="仿宋_GB2312" w:cs="仿宋_GB2312"/>
          <w:b w:val="0"/>
          <w:bCs w:val="0"/>
          <w:kern w:val="0"/>
          <w:sz w:val="28"/>
          <w:szCs w:val="28"/>
          <w:highlight w:val="none"/>
          <w:lang w:val="en-US" w:eastAsia="zh-CN" w:bidi="ar-SA"/>
        </w:rPr>
        <w:t>分</w:t>
      </w:r>
      <w:r>
        <w:rPr>
          <w:rFonts w:hint="eastAsia" w:ascii="仿宋_GB2312" w:hAnsi="仿宋_GB2312" w:eastAsia="仿宋_GB2312" w:cs="仿宋_GB2312"/>
          <w:b w:val="0"/>
          <w:bCs w:val="0"/>
          <w:kern w:val="0"/>
          <w:sz w:val="28"/>
          <w:szCs w:val="28"/>
          <w:lang w:val="en-US" w:eastAsia="zh-CN" w:bidi="ar-SA"/>
        </w:rPr>
        <w:t>，部门整体支出绩效为“优”。</w:t>
      </w:r>
    </w:p>
    <w:p>
      <w:pPr>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（一）严格预算支出管理。</w:t>
      </w:r>
      <w:r>
        <w:rPr>
          <w:rFonts w:hint="eastAsia" w:ascii="仿宋_GB2312" w:hAnsi="仿宋_GB2312" w:eastAsia="仿宋_GB2312" w:cs="仿宋_GB2312"/>
          <w:b w:val="0"/>
          <w:bCs w:val="0"/>
          <w:kern w:val="0"/>
          <w:sz w:val="28"/>
          <w:szCs w:val="28"/>
          <w:lang w:val="en-US" w:eastAsia="zh-CN" w:bidi="ar-SA"/>
        </w:rPr>
        <w:t>在支出预算</w:t>
      </w:r>
      <w:bookmarkStart w:id="0" w:name="_GoBack"/>
      <w:bookmarkEnd w:id="0"/>
      <w:r>
        <w:rPr>
          <w:rFonts w:hint="eastAsia" w:ascii="仿宋_GB2312" w:hAnsi="仿宋_GB2312" w:eastAsia="仿宋_GB2312" w:cs="仿宋_GB2312"/>
          <w:b w:val="0"/>
          <w:bCs w:val="0"/>
          <w:kern w:val="0"/>
          <w:sz w:val="28"/>
          <w:szCs w:val="28"/>
          <w:lang w:val="en-US" w:eastAsia="zh-CN" w:bidi="ar-SA"/>
        </w:rPr>
        <w:t>编制上，人员经费按照配置定额，逐人核定编制，公用经费分类分档，按定额编制；根据“总量控制、计划管理”的要求从严控制行政经费，压缩公务费开支，严格控制“三公”经费，资产的配置严格政府采购，按照预算科目和项目资金的规定使用财政资金，保障部门整体支出的规范化、制度化。</w:t>
      </w:r>
    </w:p>
    <w:p>
      <w:pPr>
        <w:pStyle w:val="2"/>
        <w:ind w:firstLine="562" w:firstLineChars="200"/>
        <w:jc w:val="both"/>
        <w:rPr>
          <w:rFonts w:hint="eastAsia" w:ascii="仿宋_GB2312" w:hAnsi="仿宋_GB2312" w:eastAsia="仿宋_GB2312" w:cs="仿宋_GB2312"/>
          <w:b w:val="0"/>
          <w:bCs w:val="0"/>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（二）财务管理按制度运行。</w:t>
      </w:r>
      <w:r>
        <w:rPr>
          <w:rFonts w:hint="eastAsia" w:ascii="仿宋_GB2312" w:hAnsi="仿宋_GB2312" w:eastAsia="仿宋_GB2312" w:cs="仿宋_GB2312"/>
          <w:b w:val="0"/>
          <w:bCs w:val="0"/>
          <w:kern w:val="0"/>
          <w:sz w:val="28"/>
          <w:szCs w:val="28"/>
          <w:lang w:val="en-US" w:eastAsia="zh-CN" w:bidi="ar-SA"/>
        </w:rPr>
        <w:t>按照国家法律法规，制定了机关财务、资产配置使用、接待、会务、因公出差、车辆使用等内部控制制度，并按照制度管理和执行，防范风险，保证财政资金的安全和高效运行。</w:t>
      </w:r>
    </w:p>
    <w:p>
      <w:pPr>
        <w:pStyle w:val="2"/>
        <w:ind w:firstLine="562" w:firstLineChars="200"/>
        <w:jc w:val="both"/>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bidi="ar-SA"/>
        </w:rPr>
        <w:t>（三）各项中心工作和政府重点工作全面完成</w:t>
      </w:r>
    </w:p>
    <w:p>
      <w:pPr>
        <w:keepNext w:val="0"/>
        <w:keepLines w:val="0"/>
        <w:pageBreakBefore w:val="0"/>
        <w:widowControl w:val="0"/>
        <w:kinsoku/>
        <w:wordWrap/>
        <w:overflowPunct/>
        <w:topLinePunct w:val="0"/>
        <w:autoSpaceDE/>
        <w:autoSpaceDN/>
        <w:bidi w:val="0"/>
        <w:adjustRightInd/>
        <w:snapToGrid/>
        <w:spacing w:line="630" w:lineRule="exact"/>
        <w:ind w:firstLine="562"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1.粮食和重要农产品稳产保供。</w:t>
      </w:r>
      <w:r>
        <w:rPr>
          <w:rFonts w:hint="eastAsia" w:ascii="仿宋_GB2312" w:hAnsi="仿宋_GB2312" w:eastAsia="仿宋_GB2312" w:cs="仿宋_GB2312"/>
          <w:sz w:val="28"/>
          <w:szCs w:val="28"/>
          <w:lang w:val="en-US" w:eastAsia="zh-CN"/>
        </w:rPr>
        <w:t>2024年，全市完成粮食播种面积729.1万亩、产量303.4万吨，均超额完成省定目标任务、再创历史新高</w:t>
      </w:r>
      <w:r>
        <w:rPr>
          <w:rFonts w:hint="default" w:ascii="仿宋_GB2312" w:hAnsi="仿宋_GB2312" w:eastAsia="仿宋_GB2312" w:cs="仿宋_GB2312"/>
          <w:sz w:val="28"/>
          <w:szCs w:val="28"/>
          <w:lang w:eastAsia="zh-CN"/>
        </w:rPr>
        <w:t>，获评全省粮油生产成绩突出单位。</w:t>
      </w:r>
      <w:r>
        <w:rPr>
          <w:rFonts w:hint="eastAsia" w:ascii="仿宋_GB2312" w:hAnsi="仿宋_GB2312" w:eastAsia="仿宋_GB2312" w:cs="仿宋_GB2312"/>
          <w:sz w:val="28"/>
          <w:szCs w:val="28"/>
          <w:lang w:val="en-US" w:eastAsia="zh-CN"/>
        </w:rPr>
        <w:t>加快高标准农田建设，新建高标准农田</w:t>
      </w:r>
      <w:r>
        <w:rPr>
          <w:rFonts w:hint="default" w:ascii="仿宋_GB2312" w:hAnsi="仿宋_GB2312" w:eastAsia="仿宋_GB2312" w:cs="仿宋_GB2312"/>
          <w:sz w:val="28"/>
          <w:szCs w:val="28"/>
          <w:lang w:eastAsia="zh-CN"/>
        </w:rPr>
        <w:t>37.8万亩</w:t>
      </w:r>
      <w:r>
        <w:rPr>
          <w:rFonts w:hint="eastAsia" w:ascii="仿宋_GB2312" w:hAnsi="仿宋_GB2312" w:eastAsia="仿宋_GB2312" w:cs="仿宋_GB2312"/>
          <w:sz w:val="28"/>
          <w:szCs w:val="28"/>
          <w:lang w:val="en-US" w:eastAsia="zh-CN"/>
        </w:rPr>
        <w:t>。</w:t>
      </w:r>
      <w:r>
        <w:rPr>
          <w:rFonts w:hint="default" w:ascii="仿宋_GB2312" w:hAnsi="仿宋_GB2312" w:eastAsia="仿宋_GB2312" w:cs="仿宋_GB2312"/>
          <w:sz w:val="28"/>
          <w:szCs w:val="28"/>
          <w:lang w:eastAsia="zh-CN"/>
        </w:rPr>
        <w:t>国家杂交水稻工程技术研究中心岳阳分中心落户屈原。先后举办全国首届高级茶叶审评师资培训班、</w:t>
      </w:r>
      <w:r>
        <w:rPr>
          <w:rFonts w:hint="eastAsia" w:ascii="仿宋_GB2312" w:hAnsi="仿宋_GB2312" w:eastAsia="仿宋_GB2312" w:cs="仿宋_GB2312"/>
          <w:sz w:val="28"/>
          <w:szCs w:val="28"/>
          <w:lang w:val="en-US" w:eastAsia="zh-CN"/>
        </w:rPr>
        <w:t>洞庭湖生态区种业发展峰会暨“看禾选种”现场观摩会</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中央广播电视总台《第一时间》《新闻直播间》《焦点访谈》等节目高频聚焦岳阳市农业生产，先后报道</w:t>
      </w:r>
      <w:r>
        <w:rPr>
          <w:rFonts w:hint="default" w:ascii="仿宋_GB2312" w:hAnsi="仿宋_GB2312" w:eastAsia="仿宋_GB2312" w:cs="仿宋_GB2312"/>
          <w:sz w:val="28"/>
          <w:szCs w:val="28"/>
          <w:lang w:eastAsia="zh-CN"/>
        </w:rPr>
        <w:t>我市</w:t>
      </w:r>
      <w:r>
        <w:rPr>
          <w:rFonts w:hint="eastAsia" w:ascii="仿宋_GB2312" w:hAnsi="仿宋_GB2312" w:eastAsia="仿宋_GB2312" w:cs="仿宋_GB2312"/>
          <w:sz w:val="28"/>
          <w:szCs w:val="28"/>
          <w:lang w:val="en-US" w:eastAsia="zh-CN"/>
        </w:rPr>
        <w:t>粮食生产情况。全年生猪出栏</w:t>
      </w:r>
      <w:r>
        <w:rPr>
          <w:rFonts w:hint="default" w:ascii="仿宋_GB2312" w:hAnsi="仿宋_GB2312" w:eastAsia="仿宋_GB2312" w:cs="仿宋_GB2312"/>
          <w:sz w:val="28"/>
          <w:szCs w:val="28"/>
          <w:lang w:eastAsia="zh-CN"/>
        </w:rPr>
        <w:t>453</w:t>
      </w:r>
      <w:r>
        <w:rPr>
          <w:rFonts w:hint="eastAsia" w:ascii="仿宋_GB2312" w:hAnsi="仿宋_GB2312" w:eastAsia="仿宋_GB2312" w:cs="仿宋_GB2312"/>
          <w:sz w:val="28"/>
          <w:szCs w:val="28"/>
          <w:lang w:val="en-US" w:eastAsia="zh-CN"/>
        </w:rPr>
        <w:t>万头</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color w:val="auto"/>
          <w:sz w:val="28"/>
          <w:szCs w:val="28"/>
          <w:lang w:val="en-US" w:eastAsia="zh-CN"/>
        </w:rPr>
        <w:t>蔬菜产量300万吨</w:t>
      </w:r>
      <w:r>
        <w:rPr>
          <w:rFonts w:hint="default"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水产品产量</w:t>
      </w:r>
      <w:r>
        <w:rPr>
          <w:rFonts w:hint="default" w:ascii="仿宋_GB2312" w:hAnsi="仿宋_GB2312" w:eastAsia="仿宋_GB2312" w:cs="仿宋_GB2312"/>
          <w:color w:val="auto"/>
          <w:sz w:val="28"/>
          <w:szCs w:val="28"/>
          <w:lang w:eastAsia="zh-CN"/>
        </w:rPr>
        <w:t>60.2</w:t>
      </w:r>
      <w:r>
        <w:rPr>
          <w:rFonts w:hint="eastAsia" w:ascii="仿宋_GB2312" w:hAnsi="仿宋_GB2312" w:eastAsia="仿宋_GB2312" w:cs="仿宋_GB2312"/>
          <w:color w:val="auto"/>
          <w:sz w:val="28"/>
          <w:szCs w:val="28"/>
          <w:lang w:val="en-US" w:eastAsia="zh-CN"/>
        </w:rPr>
        <w:t>万吨</w:t>
      </w:r>
      <w:r>
        <w:rPr>
          <w:rFonts w:hint="eastAsia" w:ascii="仿宋_GB2312" w:hAnsi="仿宋_GB2312" w:eastAsia="仿宋_GB2312" w:cs="仿宋_GB2312"/>
          <w:sz w:val="28"/>
          <w:szCs w:val="28"/>
          <w:lang w:val="en-US" w:eastAsia="zh-CN"/>
        </w:rPr>
        <w:t>，守牢群众的“米袋子”“菜篮子”“油罐子”。</w:t>
      </w:r>
    </w:p>
    <w:p>
      <w:pPr>
        <w:keepNext w:val="0"/>
        <w:keepLines w:val="0"/>
        <w:pageBreakBefore w:val="0"/>
        <w:widowControl w:val="0"/>
        <w:kinsoku/>
        <w:wordWrap/>
        <w:overflowPunct/>
        <w:topLinePunct w:val="0"/>
        <w:autoSpaceDE/>
        <w:autoSpaceDN/>
        <w:bidi w:val="0"/>
        <w:adjustRightInd/>
        <w:snapToGrid/>
        <w:spacing w:line="630" w:lineRule="exact"/>
        <w:ind w:firstLine="562" w:firstLineChars="200"/>
        <w:jc w:val="left"/>
        <w:textAlignment w:val="auto"/>
        <w:rPr>
          <w:rFonts w:hint="default" w:ascii="仿宋_GB2312" w:hAnsi="仿宋_GB2312" w:eastAsia="仿宋_GB2312" w:cs="仿宋_GB2312"/>
          <w:sz w:val="28"/>
          <w:szCs w:val="28"/>
          <w:lang w:eastAsia="zh-CN"/>
        </w:rPr>
      </w:pPr>
      <w:r>
        <w:rPr>
          <w:rFonts w:hint="eastAsia" w:ascii="仿宋_GB2312" w:hAnsi="仿宋_GB2312" w:eastAsia="仿宋_GB2312" w:cs="仿宋_GB2312"/>
          <w:b/>
          <w:bCs/>
          <w:sz w:val="28"/>
          <w:szCs w:val="28"/>
          <w:lang w:val="en-US" w:eastAsia="zh-CN"/>
        </w:rPr>
        <w:t>2.脱贫攻坚成果持续巩固。</w:t>
      </w:r>
      <w:r>
        <w:rPr>
          <w:rFonts w:hint="eastAsia" w:ascii="仿宋_GB2312" w:hAnsi="仿宋_GB2312" w:eastAsia="仿宋_GB2312" w:cs="仿宋_GB2312"/>
          <w:sz w:val="28"/>
          <w:szCs w:val="28"/>
          <w:lang w:val="en-US" w:eastAsia="zh-CN"/>
        </w:rPr>
        <w:t>2024年，全市到账中央</w:t>
      </w:r>
      <w:r>
        <w:rPr>
          <w:rFonts w:hint="default" w:ascii="仿宋_GB2312" w:hAnsi="仿宋_GB2312" w:eastAsia="仿宋_GB2312" w:cs="仿宋_GB2312"/>
          <w:sz w:val="28"/>
          <w:szCs w:val="28"/>
          <w:lang w:eastAsia="zh-CN"/>
        </w:rPr>
        <w:t>、省</w:t>
      </w:r>
      <w:r>
        <w:rPr>
          <w:rFonts w:hint="eastAsia" w:ascii="仿宋_GB2312" w:hAnsi="仿宋_GB2312" w:eastAsia="仿宋_GB2312" w:cs="仿宋_GB2312"/>
          <w:sz w:val="28"/>
          <w:szCs w:val="28"/>
          <w:lang w:val="en-US" w:eastAsia="zh-CN"/>
        </w:rPr>
        <w:t>衔接资金</w:t>
      </w:r>
      <w:r>
        <w:rPr>
          <w:rFonts w:hint="default" w:ascii="仿宋_GB2312" w:hAnsi="仿宋_GB2312" w:eastAsia="仿宋_GB2312" w:cs="仿宋_GB2312"/>
          <w:sz w:val="28"/>
          <w:szCs w:val="28"/>
          <w:lang w:eastAsia="zh-CN"/>
        </w:rPr>
        <w:t>7.59亿元</w:t>
      </w:r>
      <w:r>
        <w:rPr>
          <w:rFonts w:hint="eastAsia" w:ascii="仿宋_GB2312" w:hAnsi="仿宋_GB2312" w:eastAsia="仿宋_GB2312" w:cs="仿宋_GB2312"/>
          <w:sz w:val="28"/>
          <w:szCs w:val="28"/>
          <w:lang w:val="en-US" w:eastAsia="zh-CN"/>
        </w:rPr>
        <w:t>、增长</w:t>
      </w:r>
      <w:r>
        <w:rPr>
          <w:rFonts w:hint="default" w:ascii="仿宋_GB2312" w:hAnsi="仿宋_GB2312" w:eastAsia="仿宋_GB2312" w:cs="仿宋_GB2312"/>
          <w:sz w:val="28"/>
          <w:szCs w:val="28"/>
          <w:lang w:eastAsia="zh-CN"/>
        </w:rPr>
        <w:t>15</w:t>
      </w:r>
      <w:r>
        <w:rPr>
          <w:rFonts w:hint="eastAsia" w:ascii="仿宋_GB2312" w:hAnsi="仿宋_GB2312" w:eastAsia="仿宋_GB2312" w:cs="仿宋_GB2312"/>
          <w:sz w:val="28"/>
          <w:szCs w:val="28"/>
          <w:lang w:val="en-US" w:eastAsia="zh-CN"/>
        </w:rPr>
        <w:t>%。累计识别监测对象11027户31673人，通过帮扶消除返贫致贫风险4816户13021人，未消除风险的监测对象全部落实针对性帮扶，户均享受帮扶措施4.66条，牢牢守住不发生规模性返贫底线。脱贫劳动力和监测对象务工12.3万人、超出任务4.6%。</w:t>
      </w:r>
      <w:r>
        <w:rPr>
          <w:rFonts w:hint="eastAsia" w:ascii="仿宋_GB2312" w:hAnsi="仿宋_GB2312" w:eastAsia="仿宋_GB2312" w:cs="仿宋_GB2312"/>
          <w:sz w:val="28"/>
          <w:szCs w:val="28"/>
        </w:rPr>
        <w:t>新增发放小额信贷2</w:t>
      </w:r>
      <w:r>
        <w:rPr>
          <w:rFonts w:hint="eastAsia" w:ascii="仿宋_GB2312" w:hAnsi="仿宋_GB2312" w:eastAsia="仿宋_GB2312" w:cs="仿宋_GB2312"/>
          <w:sz w:val="28"/>
          <w:szCs w:val="28"/>
          <w:lang w:val="en-US" w:eastAsia="zh-CN"/>
        </w:rPr>
        <w:t>633</w:t>
      </w:r>
      <w:r>
        <w:rPr>
          <w:rFonts w:hint="eastAsia" w:ascii="仿宋_GB2312" w:hAnsi="仿宋_GB2312" w:eastAsia="仿宋_GB2312" w:cs="仿宋_GB2312"/>
          <w:sz w:val="28"/>
          <w:szCs w:val="28"/>
        </w:rPr>
        <w:t>笔1.</w:t>
      </w:r>
      <w:r>
        <w:rPr>
          <w:rFonts w:hint="eastAsia" w:ascii="仿宋_GB2312" w:hAnsi="仿宋_GB2312" w:eastAsia="仿宋_GB2312" w:cs="仿宋_GB2312"/>
          <w:sz w:val="28"/>
          <w:szCs w:val="28"/>
          <w:lang w:val="en-US" w:eastAsia="zh-CN"/>
        </w:rPr>
        <w:t>17</w:t>
      </w:r>
      <w:r>
        <w:rPr>
          <w:rFonts w:hint="eastAsia" w:ascii="仿宋_GB2312" w:hAnsi="仿宋_GB2312" w:eastAsia="仿宋_GB2312" w:cs="仿宋_GB2312"/>
          <w:sz w:val="28"/>
          <w:szCs w:val="28"/>
        </w:rPr>
        <w:t>亿元。</w:t>
      </w:r>
      <w:r>
        <w:rPr>
          <w:rFonts w:hint="default" w:ascii="仿宋_GB2312" w:hAnsi="仿宋_GB2312" w:eastAsia="仿宋_GB2312" w:cs="仿宋_GB2312"/>
          <w:sz w:val="28"/>
          <w:szCs w:val="28"/>
        </w:rPr>
        <w:t>我市在全省巩固拓展脱贫攻坚成果工作培训会上作就业工作典型发言，</w:t>
      </w:r>
      <w:r>
        <w:rPr>
          <w:rFonts w:hint="default" w:ascii="仿宋_GB2312" w:hAnsi="仿宋_GB2312" w:eastAsia="仿宋_GB2312" w:cs="仿宋_GB2312"/>
          <w:sz w:val="28"/>
          <w:szCs w:val="28"/>
          <w:lang w:eastAsia="zh-CN"/>
        </w:rPr>
        <w:t>临湘市入选全国乡村振兴赋能计划典型案例，平江县帮扶产业发展、返乡入乡创业就业经验在全国推广、获评全国村庄清洁行动先进县，</w:t>
      </w:r>
      <w:r>
        <w:rPr>
          <w:rFonts w:hint="default" w:ascii="仿宋_GB2312" w:hAnsi="仿宋_GB2312" w:eastAsia="仿宋_GB2312" w:cs="仿宋_GB2312"/>
          <w:kern w:val="2"/>
          <w:sz w:val="28"/>
          <w:szCs w:val="28"/>
          <w:lang w:eastAsia="zh-CN" w:bidi="ar-SA"/>
        </w:rPr>
        <w:t>岳阳县农业经营体系建设经验全国推介、</w:t>
      </w:r>
      <w:r>
        <w:rPr>
          <w:rFonts w:hint="default" w:ascii="仿宋_GB2312" w:hAnsi="仿宋_GB2312" w:eastAsia="仿宋_GB2312" w:cs="仿宋_GB2312"/>
          <w:sz w:val="28"/>
          <w:szCs w:val="28"/>
          <w:lang w:eastAsia="zh-CN"/>
        </w:rPr>
        <w:t>获评</w:t>
      </w:r>
      <w:r>
        <w:rPr>
          <w:rFonts w:hint="eastAsia" w:ascii="仿宋_GB2312" w:hAnsi="仿宋_GB2312" w:eastAsia="仿宋_GB2312" w:cs="仿宋_GB2312"/>
          <w:sz w:val="28"/>
          <w:szCs w:val="28"/>
          <w:lang w:val="en-US" w:eastAsia="zh-CN"/>
        </w:rPr>
        <w:t>全省高质量庭院经济试点县</w:t>
      </w:r>
      <w:r>
        <w:rPr>
          <w:rFonts w:hint="default" w:ascii="仿宋_GB2312" w:hAnsi="仿宋_GB2312" w:eastAsia="仿宋_GB2312" w:cs="仿宋_GB2312"/>
          <w:kern w:val="2"/>
          <w:sz w:val="28"/>
          <w:szCs w:val="28"/>
          <w:lang w:eastAsia="zh-CN" w:bidi="ar-SA"/>
        </w:rPr>
        <w:t>。</w:t>
      </w:r>
      <w:r>
        <w:rPr>
          <w:rFonts w:hint="eastAsia" w:ascii="仿宋_GB2312" w:hAnsi="仿宋_GB2312" w:eastAsia="仿宋_GB2312" w:cs="仿宋_GB2312"/>
          <w:sz w:val="28"/>
          <w:szCs w:val="28"/>
          <w:lang w:val="en-US" w:eastAsia="zh-CN"/>
        </w:rPr>
        <w:t>君山区成功申报巩固拓展脱贫攻坚成果省级示范园</w:t>
      </w:r>
      <w:r>
        <w:rPr>
          <w:rFonts w:hint="default" w:ascii="仿宋_GB2312" w:hAnsi="仿宋_GB2312" w:eastAsia="仿宋_GB2312" w:cs="仿宋_GB2312"/>
          <w:sz w:val="28"/>
          <w:szCs w:val="28"/>
          <w:lang w:eastAsia="zh-CN"/>
        </w:rPr>
        <w:t>。</w:t>
      </w:r>
      <w:r>
        <w:rPr>
          <w:rFonts w:hint="default" w:ascii="仿宋_GB2312" w:hAnsi="仿宋_GB2312" w:eastAsia="仿宋_GB2312" w:cs="仿宋_GB2312"/>
          <w:kern w:val="2"/>
          <w:sz w:val="28"/>
          <w:szCs w:val="28"/>
          <w:lang w:eastAsia="zh-CN" w:bidi="ar-SA"/>
        </w:rPr>
        <w:t>临湘市成功申报彩票公益金支持欠发达地区乡村振兴项目。</w:t>
      </w:r>
      <w:r>
        <w:rPr>
          <w:rFonts w:hint="default" w:ascii="仿宋_GB2312" w:hAnsi="仿宋_GB2312" w:eastAsia="仿宋_GB2312" w:cs="仿宋_GB2312"/>
          <w:sz w:val="28"/>
          <w:szCs w:val="28"/>
          <w:lang w:eastAsia="zh-CN"/>
        </w:rPr>
        <w:t>强化对口帮扶，举办保靖县村（社区）党组织书记履职能力提升培训班，培训保靖县村（社区）党组织书记69名；举办全市农村电商直播带货能力提升培训班，培训保靖县等乡村学员90余名。成功举办岳阳市帮扶保靖县30周年系列活动。</w:t>
      </w:r>
    </w:p>
    <w:p>
      <w:pPr>
        <w:keepNext w:val="0"/>
        <w:keepLines w:val="0"/>
        <w:pageBreakBefore w:val="0"/>
        <w:widowControl w:val="0"/>
        <w:kinsoku/>
        <w:wordWrap/>
        <w:overflowPunct/>
        <w:topLinePunct w:val="0"/>
        <w:autoSpaceDE/>
        <w:autoSpaceDN/>
        <w:bidi w:val="0"/>
        <w:adjustRightInd/>
        <w:snapToGrid/>
        <w:spacing w:line="630" w:lineRule="exact"/>
        <w:ind w:firstLine="562" w:firstLineChars="200"/>
        <w:jc w:val="left"/>
        <w:textAlignment w:val="auto"/>
        <w:rPr>
          <w:rFonts w:hint="default" w:ascii="仿宋_GB2312" w:hAnsi="仿宋_GB2312" w:eastAsia="仿宋_GB2312" w:cs="仿宋_GB2312"/>
          <w:sz w:val="28"/>
          <w:szCs w:val="28"/>
          <w:lang w:eastAsia="zh-CN"/>
        </w:rPr>
      </w:pPr>
      <w:r>
        <w:rPr>
          <w:rFonts w:hint="eastAsia" w:ascii="仿宋_GB2312" w:hAnsi="仿宋_GB2312" w:eastAsia="仿宋_GB2312" w:cs="仿宋_GB2312"/>
          <w:b/>
          <w:bCs/>
          <w:sz w:val="28"/>
          <w:szCs w:val="28"/>
          <w:lang w:val="en-US" w:eastAsia="zh-CN"/>
        </w:rPr>
        <w:t>3.乡村产业高质量发展。</w:t>
      </w:r>
      <w:r>
        <w:rPr>
          <w:rFonts w:hint="eastAsia" w:ascii="仿宋_GB2312" w:hAnsi="仿宋_GB2312" w:eastAsia="仿宋_GB2312" w:cs="仿宋_GB2312"/>
          <w:sz w:val="28"/>
          <w:szCs w:val="28"/>
          <w:lang w:val="en-US" w:eastAsia="zh-CN"/>
        </w:rPr>
        <w:t>2024年，全市规模以上农产品加工企业累计净增65家，总数达</w:t>
      </w:r>
      <w:r>
        <w:rPr>
          <w:rFonts w:hint="default" w:ascii="仿宋_GB2312" w:hAnsi="仿宋_GB2312" w:eastAsia="仿宋_GB2312" w:cs="仿宋_GB2312"/>
          <w:sz w:val="28"/>
          <w:szCs w:val="28"/>
          <w:lang w:eastAsia="zh-CN"/>
        </w:rPr>
        <w:t>9</w:t>
      </w:r>
      <w:r>
        <w:rPr>
          <w:rFonts w:hint="eastAsia" w:ascii="仿宋_GB2312" w:hAnsi="仿宋_GB2312" w:eastAsia="仿宋_GB2312" w:cs="仿宋_GB2312"/>
          <w:sz w:val="28"/>
          <w:szCs w:val="28"/>
          <w:lang w:val="en-US" w:eastAsia="zh-CN"/>
        </w:rPr>
        <w:t>30家（全省第一）；全年农产品加工业</w:t>
      </w:r>
      <w:r>
        <w:rPr>
          <w:rFonts w:hint="default" w:ascii="仿宋_GB2312" w:hAnsi="仿宋_GB2312" w:eastAsia="仿宋_GB2312" w:cs="仿宋_GB2312"/>
          <w:sz w:val="28"/>
          <w:szCs w:val="28"/>
          <w:lang w:eastAsia="zh-CN"/>
        </w:rPr>
        <w:t>总产值2869.6</w:t>
      </w:r>
      <w:r>
        <w:rPr>
          <w:rFonts w:hint="eastAsia" w:ascii="仿宋_GB2312" w:hAnsi="仿宋_GB2312" w:eastAsia="仿宋_GB2312" w:cs="仿宋_GB2312"/>
          <w:sz w:val="28"/>
          <w:szCs w:val="28"/>
          <w:lang w:val="en-US" w:eastAsia="zh-CN"/>
        </w:rPr>
        <w:t>亿元</w:t>
      </w:r>
      <w:r>
        <w:rPr>
          <w:rFonts w:hint="default" w:ascii="仿宋_GB2312" w:hAnsi="仿宋_GB2312" w:eastAsia="仿宋_GB2312" w:cs="仿宋_GB2312"/>
          <w:sz w:val="28"/>
          <w:szCs w:val="28"/>
          <w:lang w:eastAsia="zh-CN"/>
        </w:rPr>
        <w:t>，其中规模以上农产品加工业总产值1826.5亿元。</w:t>
      </w:r>
      <w:r>
        <w:rPr>
          <w:rFonts w:hint="eastAsia" w:ascii="仿宋_GB2312" w:hAnsi="仿宋_GB2312" w:eastAsia="仿宋_GB2312" w:cs="仿宋_GB2312"/>
          <w:sz w:val="28"/>
          <w:szCs w:val="28"/>
          <w:lang w:val="en-US" w:eastAsia="zh-CN"/>
        </w:rPr>
        <w:t>统筹抓好现代农业及绿色食品加工产业链建设工作，产业链新签约项目</w:t>
      </w:r>
      <w:r>
        <w:rPr>
          <w:rFonts w:hint="default" w:ascii="仿宋_GB2312" w:hAnsi="仿宋_GB2312" w:eastAsia="仿宋_GB2312" w:cs="仿宋_GB2312"/>
          <w:sz w:val="28"/>
          <w:szCs w:val="28"/>
          <w:lang w:eastAsia="zh-CN"/>
        </w:rPr>
        <w:t>100</w:t>
      </w:r>
      <w:r>
        <w:rPr>
          <w:rFonts w:hint="eastAsia" w:ascii="仿宋_GB2312" w:hAnsi="仿宋_GB2312" w:eastAsia="仿宋_GB2312" w:cs="仿宋_GB2312"/>
          <w:sz w:val="28"/>
          <w:szCs w:val="28"/>
          <w:lang w:val="en-US" w:eastAsia="zh-CN"/>
        </w:rPr>
        <w:t>个、签约投资额</w:t>
      </w:r>
      <w:r>
        <w:rPr>
          <w:rFonts w:hint="default" w:ascii="仿宋_GB2312" w:hAnsi="仿宋_GB2312" w:eastAsia="仿宋_GB2312" w:cs="仿宋_GB2312"/>
          <w:sz w:val="28"/>
          <w:szCs w:val="28"/>
          <w:lang w:eastAsia="zh-CN"/>
        </w:rPr>
        <w:t>160.1</w:t>
      </w:r>
      <w:r>
        <w:rPr>
          <w:rFonts w:hint="eastAsia" w:ascii="仿宋_GB2312" w:hAnsi="仿宋_GB2312" w:eastAsia="仿宋_GB2312" w:cs="仿宋_GB2312"/>
          <w:sz w:val="28"/>
          <w:szCs w:val="28"/>
          <w:lang w:val="en-US" w:eastAsia="zh-CN"/>
        </w:rPr>
        <w:t>亿元。湘阴</w:t>
      </w:r>
      <w:r>
        <w:rPr>
          <w:rFonts w:hint="default" w:ascii="仿宋_GB2312" w:hAnsi="仿宋_GB2312" w:eastAsia="仿宋_GB2312" w:cs="仿宋_GB2312"/>
          <w:sz w:val="28"/>
          <w:szCs w:val="28"/>
          <w:lang w:eastAsia="zh-CN"/>
        </w:rPr>
        <w:t>县</w:t>
      </w:r>
      <w:r>
        <w:rPr>
          <w:rFonts w:hint="eastAsia" w:ascii="仿宋_GB2312" w:hAnsi="仿宋_GB2312" w:eastAsia="仿宋_GB2312" w:cs="仿宋_GB2312"/>
          <w:sz w:val="28"/>
          <w:szCs w:val="28"/>
          <w:lang w:val="en-US" w:eastAsia="zh-CN"/>
        </w:rPr>
        <w:t>、汨罗</w:t>
      </w:r>
      <w:r>
        <w:rPr>
          <w:rFonts w:hint="default" w:ascii="仿宋_GB2312" w:hAnsi="仿宋_GB2312" w:eastAsia="仿宋_GB2312" w:cs="仿宋_GB2312"/>
          <w:sz w:val="28"/>
          <w:szCs w:val="28"/>
          <w:lang w:eastAsia="zh-CN"/>
        </w:rPr>
        <w:t>市上</w:t>
      </w:r>
      <w:r>
        <w:rPr>
          <w:rFonts w:hint="eastAsia" w:ascii="仿宋_GB2312" w:hAnsi="仿宋_GB2312" w:eastAsia="仿宋_GB2312" w:cs="仿宋_GB2312"/>
          <w:sz w:val="28"/>
          <w:szCs w:val="28"/>
          <w:lang w:val="en-US" w:eastAsia="zh-CN"/>
        </w:rPr>
        <w:t>榜中部地区县域经济百强</w:t>
      </w:r>
      <w:r>
        <w:rPr>
          <w:rFonts w:hint="default" w:ascii="仿宋_GB2312" w:hAnsi="仿宋_GB2312" w:eastAsia="仿宋_GB2312" w:cs="仿宋_GB2312"/>
          <w:sz w:val="28"/>
          <w:szCs w:val="28"/>
          <w:lang w:eastAsia="zh-CN"/>
        </w:rPr>
        <w:t>，</w:t>
      </w:r>
      <w:r>
        <w:rPr>
          <w:rFonts w:hint="default" w:ascii="仿宋_GB2312" w:hAnsi="仿宋_GB2312" w:eastAsia="仿宋_GB2312" w:cs="仿宋_GB2312"/>
          <w:b w:val="0"/>
          <w:bCs w:val="0"/>
          <w:sz w:val="28"/>
          <w:szCs w:val="28"/>
          <w:lang w:eastAsia="zh-CN"/>
        </w:rPr>
        <w:t>平江县、华容县获评全省县域经济发展先进县，临湘市获评全省县域经济发展创新进位县。</w:t>
      </w:r>
      <w:r>
        <w:rPr>
          <w:rFonts w:hint="eastAsia" w:ascii="仿宋_GB2312" w:hAnsi="仿宋_GB2312" w:eastAsia="仿宋_GB2312" w:cs="仿宋_GB2312"/>
          <w:sz w:val="28"/>
          <w:szCs w:val="28"/>
          <w:lang w:val="en-US" w:eastAsia="zh-CN"/>
        </w:rPr>
        <w:t>华容县、君山区、岳阳县</w:t>
      </w:r>
      <w:r>
        <w:rPr>
          <w:rFonts w:hint="default" w:ascii="仿宋_GB2312" w:hAnsi="仿宋_GB2312" w:eastAsia="仿宋_GB2312" w:cs="仿宋_GB2312"/>
          <w:sz w:val="28"/>
          <w:szCs w:val="28"/>
          <w:lang w:eastAsia="zh-CN"/>
        </w:rPr>
        <w:t>入选</w:t>
      </w:r>
      <w:r>
        <w:rPr>
          <w:rFonts w:hint="eastAsia" w:ascii="仿宋_GB2312" w:hAnsi="仿宋_GB2312" w:eastAsia="仿宋_GB2312" w:cs="仿宋_GB2312"/>
          <w:sz w:val="28"/>
          <w:szCs w:val="28"/>
          <w:lang w:val="en-US" w:eastAsia="zh-CN"/>
        </w:rPr>
        <w:t>洞庭湖“小龙虾”优势特色产业集群，平江县</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湘阴县</w:t>
      </w:r>
      <w:r>
        <w:rPr>
          <w:rFonts w:hint="default" w:ascii="仿宋_GB2312" w:hAnsi="仿宋_GB2312" w:eastAsia="仿宋_GB2312" w:cs="仿宋_GB2312"/>
          <w:sz w:val="28"/>
          <w:szCs w:val="28"/>
          <w:lang w:eastAsia="zh-CN"/>
        </w:rPr>
        <w:t>入选</w:t>
      </w:r>
      <w:r>
        <w:rPr>
          <w:rFonts w:hint="eastAsia" w:ascii="仿宋_GB2312" w:hAnsi="仿宋_GB2312" w:eastAsia="仿宋_GB2312" w:cs="仿宋_GB2312"/>
          <w:sz w:val="28"/>
          <w:szCs w:val="28"/>
          <w:lang w:val="en-US" w:eastAsia="zh-CN"/>
        </w:rPr>
        <w:t>湖南辣椒优势特色产业集群。华容芥菜和樟树港辣椒</w:t>
      </w:r>
      <w:r>
        <w:rPr>
          <w:rFonts w:hint="default" w:ascii="仿宋_GB2312" w:hAnsi="仿宋_GB2312" w:eastAsia="仿宋_GB2312" w:cs="仿宋_GB2312"/>
          <w:sz w:val="28"/>
          <w:szCs w:val="28"/>
          <w:lang w:eastAsia="zh-CN"/>
        </w:rPr>
        <w:t>入选全国</w:t>
      </w:r>
      <w:r>
        <w:rPr>
          <w:rFonts w:hint="eastAsia" w:ascii="仿宋_GB2312" w:hAnsi="仿宋_GB2312" w:eastAsia="仿宋_GB2312" w:cs="仿宋_GB2312"/>
          <w:sz w:val="28"/>
          <w:szCs w:val="28"/>
          <w:lang w:val="en-US" w:eastAsia="zh-CN"/>
        </w:rPr>
        <w:t>农业品牌精品培育计划。“湖南·古韵岳阳寻踪之旅”线路入选全国乡村旅游精品</w:t>
      </w:r>
      <w:r>
        <w:rPr>
          <w:rFonts w:hint="default" w:ascii="仿宋_GB2312" w:hAnsi="仿宋_GB2312" w:eastAsia="仿宋_GB2312" w:cs="仿宋_GB2312"/>
          <w:sz w:val="28"/>
          <w:szCs w:val="28"/>
          <w:lang w:eastAsia="zh-CN"/>
        </w:rPr>
        <w:t>线路</w:t>
      </w:r>
      <w:r>
        <w:rPr>
          <w:rFonts w:hint="eastAsia" w:ascii="仿宋_GB2312" w:hAnsi="仿宋_GB2312" w:eastAsia="仿宋_GB2312" w:cs="仿宋_GB2312"/>
          <w:sz w:val="28"/>
          <w:szCs w:val="28"/>
          <w:lang w:val="en-US" w:eastAsia="zh-CN"/>
        </w:rPr>
        <w:t>。20个农产品获中部农博会金奖。</w:t>
      </w:r>
      <w:r>
        <w:rPr>
          <w:rFonts w:hint="default" w:ascii="仿宋_GB2312" w:hAnsi="仿宋_GB2312" w:eastAsia="仿宋_GB2312" w:cs="仿宋_GB2312"/>
          <w:sz w:val="28"/>
          <w:szCs w:val="28"/>
          <w:lang w:eastAsia="zh-CN"/>
        </w:rPr>
        <w:t>举办“</w:t>
      </w:r>
      <w:r>
        <w:rPr>
          <w:rFonts w:hint="eastAsia" w:ascii="仿宋_GB2312" w:hAnsi="仿宋_GB2312" w:eastAsia="仿宋_GB2312" w:cs="仿宋_GB2312"/>
          <w:sz w:val="28"/>
          <w:szCs w:val="28"/>
          <w:lang w:val="en-US" w:eastAsia="zh-CN"/>
        </w:rPr>
        <w:t>君品君山”2024岳阳茶博会暨大美岳阳绿色食品博览会</w:t>
      </w:r>
      <w:r>
        <w:rPr>
          <w:rFonts w:hint="default" w:ascii="仿宋_GB2312" w:hAnsi="仿宋_GB2312" w:eastAsia="仿宋_GB2312" w:cs="仿宋_GB2312"/>
          <w:sz w:val="28"/>
          <w:szCs w:val="28"/>
          <w:lang w:eastAsia="zh-CN"/>
        </w:rPr>
        <w:t>。全市</w:t>
      </w:r>
      <w:r>
        <w:rPr>
          <w:rFonts w:hint="eastAsia" w:ascii="仿宋_GB2312" w:hAnsi="仿宋_GB2312" w:eastAsia="仿宋_GB2312" w:cs="仿宋_GB2312"/>
          <w:sz w:val="28"/>
          <w:szCs w:val="28"/>
          <w:lang w:val="en-US" w:eastAsia="zh-CN"/>
        </w:rPr>
        <w:t>新增返乡创业主体</w:t>
      </w:r>
      <w:r>
        <w:rPr>
          <w:rFonts w:hint="default"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6303个，新增带动就业46997人，新增主体合计投资7</w:t>
      </w:r>
      <w:r>
        <w:rPr>
          <w:rFonts w:hint="default" w:ascii="仿宋_GB2312" w:hAnsi="仿宋_GB2312" w:eastAsia="仿宋_GB2312" w:cs="仿宋_GB2312"/>
          <w:sz w:val="28"/>
          <w:szCs w:val="28"/>
          <w:lang w:eastAsia="zh-CN"/>
        </w:rPr>
        <w:t>7.5</w:t>
      </w:r>
      <w:r>
        <w:rPr>
          <w:rFonts w:hint="eastAsia" w:ascii="仿宋_GB2312" w:hAnsi="仿宋_GB2312" w:eastAsia="仿宋_GB2312" w:cs="仿宋_GB2312"/>
          <w:sz w:val="28"/>
          <w:szCs w:val="28"/>
          <w:lang w:val="en-US" w:eastAsia="zh-CN"/>
        </w:rPr>
        <w:t>亿元</w:t>
      </w:r>
      <w:r>
        <w:rPr>
          <w:rFonts w:hint="default" w:ascii="仿宋_GB2312" w:hAnsi="仿宋_GB2312" w:eastAsia="仿宋_GB2312" w:cs="仿宋_GB2312"/>
          <w:sz w:val="28"/>
          <w:szCs w:val="28"/>
          <w:lang w:eastAsia="zh-CN"/>
        </w:rPr>
        <w:t>；岳阳县获评全省农村创业典型县；平江县汨江源山茶油股份有限公司总经理刘武斌获评全省十佳农民。全口径争资争项31.3亿元、完成率104.4%，其中市本级2221万元、完成率105.7%。</w:t>
      </w:r>
    </w:p>
    <w:p>
      <w:pPr>
        <w:keepNext w:val="0"/>
        <w:keepLines w:val="0"/>
        <w:pageBreakBefore w:val="0"/>
        <w:widowControl w:val="0"/>
        <w:kinsoku/>
        <w:wordWrap/>
        <w:overflowPunct/>
        <w:topLinePunct w:val="0"/>
        <w:autoSpaceDE/>
        <w:autoSpaceDN/>
        <w:bidi w:val="0"/>
        <w:adjustRightInd/>
        <w:snapToGrid/>
        <w:spacing w:line="630" w:lineRule="exact"/>
        <w:ind w:firstLine="562" w:firstLineChars="200"/>
        <w:jc w:val="both"/>
        <w:textAlignment w:val="auto"/>
        <w:rPr>
          <w:rFonts w:hint="default" w:ascii="仿宋_GB2312" w:hAnsi="仿宋_GB2312" w:eastAsia="仿宋_GB2312" w:cs="仿宋_GB2312"/>
          <w:sz w:val="28"/>
          <w:szCs w:val="28"/>
          <w:lang w:eastAsia="zh-CN"/>
        </w:rPr>
      </w:pPr>
      <w:r>
        <w:rPr>
          <w:rFonts w:hint="eastAsia" w:ascii="仿宋_GB2312" w:hAnsi="仿宋_GB2312" w:eastAsia="仿宋_GB2312" w:cs="仿宋_GB2312"/>
          <w:b/>
          <w:bCs/>
          <w:sz w:val="28"/>
          <w:szCs w:val="28"/>
          <w:lang w:val="en-US" w:eastAsia="zh-CN"/>
        </w:rPr>
        <w:t>4.和美乡村创建扎实推进。</w:t>
      </w:r>
      <w:r>
        <w:rPr>
          <w:rFonts w:hint="default" w:ascii="仿宋_GB2312" w:hAnsi="仿宋_GB2312" w:eastAsia="仿宋_GB2312" w:cs="仿宋_GB2312"/>
          <w:color w:val="auto"/>
          <w:sz w:val="28"/>
          <w:szCs w:val="28"/>
          <w:lang w:val="en-US" w:eastAsia="zh-CN"/>
        </w:rPr>
        <w:t>平江县获评全国村庄清洁行动先进县。</w:t>
      </w:r>
      <w:r>
        <w:rPr>
          <w:rFonts w:hint="eastAsia" w:ascii="仿宋_GB2312" w:hAnsi="仿宋_GB2312" w:eastAsia="仿宋_GB2312" w:cs="仿宋_GB2312"/>
          <w:sz w:val="28"/>
          <w:szCs w:val="28"/>
          <w:lang w:val="en-US" w:eastAsia="zh-CN"/>
        </w:rPr>
        <w:t>新建农村户厕</w:t>
      </w:r>
      <w:r>
        <w:rPr>
          <w:rFonts w:hint="default"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5387个</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公厕49座</w:t>
      </w:r>
      <w:r>
        <w:rPr>
          <w:rFonts w:hint="default" w:ascii="仿宋_GB2312" w:hAnsi="仿宋_GB2312" w:eastAsia="仿宋_GB2312" w:cs="仿宋_GB2312"/>
          <w:sz w:val="28"/>
          <w:szCs w:val="28"/>
          <w:lang w:eastAsia="zh-CN"/>
        </w:rPr>
        <w:t>，农村卫生厕所普及率96%以上、生活垃圾无害化处理率100%、生活污水治理率44.3%</w:t>
      </w:r>
      <w:r>
        <w:rPr>
          <w:rFonts w:hint="eastAsia" w:ascii="仿宋_GB2312" w:hAnsi="仿宋_GB2312" w:eastAsia="仿宋_GB2312" w:cs="仿宋_GB2312"/>
          <w:sz w:val="28"/>
          <w:szCs w:val="28"/>
          <w:lang w:eastAsia="zh-CN"/>
        </w:rPr>
        <w:t>。</w:t>
      </w:r>
      <w:r>
        <w:rPr>
          <w:rFonts w:hint="default" w:ascii="仿宋_GB2312" w:hAnsi="仿宋_GB2312" w:eastAsia="仿宋_GB2312" w:cs="仿宋_GB2312"/>
          <w:sz w:val="28"/>
          <w:szCs w:val="28"/>
          <w:lang w:eastAsia="zh-CN"/>
        </w:rPr>
        <w:t>申报省级</w:t>
      </w:r>
      <w:r>
        <w:rPr>
          <w:rFonts w:hint="eastAsia" w:ascii="仿宋_GB2312" w:hAnsi="仿宋_GB2312" w:eastAsia="仿宋_GB2312" w:cs="仿宋_GB2312"/>
          <w:sz w:val="28"/>
          <w:szCs w:val="28"/>
          <w:lang w:val="en-US" w:eastAsia="zh-CN"/>
        </w:rPr>
        <w:t>和美湘村示范村</w:t>
      </w:r>
      <w:r>
        <w:rPr>
          <w:rFonts w:hint="default" w:ascii="仿宋_GB2312" w:hAnsi="仿宋_GB2312" w:eastAsia="仿宋_GB2312" w:cs="仿宋_GB2312"/>
          <w:sz w:val="28"/>
          <w:szCs w:val="28"/>
          <w:lang w:eastAsia="zh-CN"/>
        </w:rPr>
        <w:t>15个，</w:t>
      </w:r>
      <w:r>
        <w:rPr>
          <w:rFonts w:hint="eastAsia" w:ascii="仿宋_GB2312" w:hAnsi="仿宋_GB2312" w:eastAsia="仿宋_GB2312" w:cs="仿宋_GB2312"/>
          <w:sz w:val="28"/>
          <w:szCs w:val="28"/>
          <w:lang w:val="en-US" w:eastAsia="zh-CN"/>
        </w:rPr>
        <w:t>建设</w:t>
      </w:r>
      <w:r>
        <w:rPr>
          <w:rFonts w:hint="default" w:ascii="仿宋_GB2312" w:hAnsi="仿宋_GB2312" w:eastAsia="仿宋_GB2312" w:cs="仿宋_GB2312"/>
          <w:sz w:val="28"/>
          <w:szCs w:val="28"/>
          <w:lang w:eastAsia="zh-CN"/>
        </w:rPr>
        <w:t>市级和美乡村20个</w:t>
      </w:r>
      <w:r>
        <w:rPr>
          <w:rFonts w:hint="eastAsia" w:ascii="仿宋_GB2312" w:hAnsi="仿宋_GB2312" w:eastAsia="仿宋_GB2312" w:cs="仿宋_GB2312"/>
          <w:sz w:val="28"/>
          <w:szCs w:val="28"/>
          <w:lang w:eastAsia="zh-CN"/>
        </w:rPr>
        <w:t>。</w:t>
      </w:r>
      <w:r>
        <w:rPr>
          <w:rFonts w:hint="default" w:ascii="仿宋_GB2312" w:hAnsi="仿宋_GB2312" w:eastAsia="仿宋_GB2312" w:cs="仿宋_GB2312"/>
          <w:sz w:val="28"/>
          <w:szCs w:val="28"/>
          <w:lang w:eastAsia="zh-CN"/>
        </w:rPr>
        <w:t>承办</w:t>
      </w:r>
      <w:r>
        <w:rPr>
          <w:rFonts w:hint="eastAsia" w:ascii="仿宋_GB2312" w:hAnsi="仿宋_GB2312" w:eastAsia="仿宋_GB2312" w:cs="仿宋_GB2312"/>
          <w:sz w:val="28"/>
          <w:szCs w:val="28"/>
          <w:lang w:val="en-US" w:eastAsia="zh-CN"/>
        </w:rPr>
        <w:t>全省珍贵濒危水生生物增殖放流活动</w:t>
      </w:r>
      <w:r>
        <w:rPr>
          <w:rFonts w:hint="default" w:ascii="仿宋_GB2312" w:hAnsi="仿宋_GB2312" w:eastAsia="仿宋_GB2312" w:cs="仿宋_GB2312"/>
          <w:sz w:val="28"/>
          <w:szCs w:val="28"/>
          <w:lang w:eastAsia="zh-CN"/>
        </w:rPr>
        <w:t>，共向洞庭湖投放苗种521.05万尾（只）。</w:t>
      </w:r>
    </w:p>
    <w:p>
      <w:pPr>
        <w:pStyle w:val="11"/>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kern w:val="0"/>
          <w:sz w:val="28"/>
          <w:szCs w:val="28"/>
          <w:lang w:val="en-US" w:eastAsia="zh-CN" w:bidi="ar-SA"/>
        </w:rPr>
        <w:t>5.农村综合改革不断深化。</w:t>
      </w:r>
      <w:r>
        <w:rPr>
          <w:rFonts w:hint="eastAsia" w:ascii="仿宋_GB2312" w:hAnsi="仿宋_GB2312" w:eastAsia="仿宋_GB2312" w:cs="仿宋_GB2312"/>
          <w:sz w:val="28"/>
          <w:szCs w:val="28"/>
          <w:lang w:val="en-US" w:eastAsia="zh-CN"/>
        </w:rPr>
        <w:t>稳步开展“第二轮土地承包到期后再延长30年”试点。有序推进村级债务化解，2024年，全市村集体平均经营性收入29.8万元、增长47.1%；村级债务账面负债化解减少</w:t>
      </w:r>
      <w:r>
        <w:rPr>
          <w:rFonts w:hint="default"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2.9亿元</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全省第2，</w:t>
      </w:r>
      <w:r>
        <w:rPr>
          <w:rFonts w:hint="default" w:ascii="仿宋_GB2312" w:hAnsi="仿宋_GB2312" w:eastAsia="仿宋_GB2312" w:cs="仿宋_GB2312"/>
          <w:sz w:val="28"/>
          <w:szCs w:val="28"/>
          <w:lang w:eastAsia="zh-CN"/>
        </w:rPr>
        <w:t>化债率</w:t>
      </w:r>
      <w:r>
        <w:rPr>
          <w:rFonts w:hint="eastAsia" w:ascii="仿宋_GB2312" w:hAnsi="仿宋_GB2312" w:eastAsia="仿宋_GB2312" w:cs="仿宋_GB2312"/>
          <w:sz w:val="28"/>
          <w:szCs w:val="28"/>
          <w:lang w:val="en-US" w:eastAsia="zh-CN"/>
        </w:rPr>
        <w:t>43.4</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全省第1。加快农村产权流转交易市场体系建设，全市挂牌</w:t>
      </w:r>
      <w:r>
        <w:rPr>
          <w:rFonts w:hint="default" w:ascii="仿宋_GB2312" w:hAnsi="仿宋_GB2312" w:eastAsia="仿宋_GB2312" w:cs="仿宋_GB2312"/>
          <w:sz w:val="28"/>
          <w:szCs w:val="28"/>
          <w:lang w:eastAsia="zh-CN"/>
        </w:rPr>
        <w:t>成交824</w:t>
      </w:r>
      <w:r>
        <w:rPr>
          <w:rFonts w:hint="eastAsia" w:ascii="仿宋_GB2312" w:hAnsi="仿宋_GB2312" w:eastAsia="仿宋_GB2312" w:cs="仿宋_GB2312"/>
          <w:sz w:val="28"/>
          <w:szCs w:val="28"/>
          <w:lang w:val="en-US" w:eastAsia="zh-CN"/>
        </w:rPr>
        <w:t>笔</w:t>
      </w:r>
      <w:r>
        <w:rPr>
          <w:rFonts w:hint="default"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成交额达</w:t>
      </w:r>
      <w:r>
        <w:rPr>
          <w:rFonts w:hint="default" w:ascii="仿宋_GB2312" w:hAnsi="仿宋_GB2312" w:eastAsia="仿宋_GB2312" w:cs="仿宋_GB2312"/>
          <w:sz w:val="28"/>
          <w:szCs w:val="28"/>
          <w:lang w:eastAsia="zh-CN"/>
        </w:rPr>
        <w:t>3.29亿</w:t>
      </w:r>
      <w:r>
        <w:rPr>
          <w:rFonts w:hint="eastAsia" w:ascii="仿宋_GB2312" w:hAnsi="仿宋_GB2312" w:eastAsia="仿宋_GB2312" w:cs="仿宋_GB2312"/>
          <w:sz w:val="28"/>
          <w:szCs w:val="28"/>
          <w:lang w:val="en-US" w:eastAsia="zh-CN"/>
        </w:rPr>
        <w:t>元。</w:t>
      </w:r>
    </w:p>
    <w:p>
      <w:pPr>
        <w:pStyle w:val="11"/>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val="0"/>
          <w:bCs w:val="0"/>
          <w:kern w:val="0"/>
          <w:sz w:val="28"/>
          <w:szCs w:val="28"/>
          <w:highlight w:val="none"/>
          <w:lang w:val="en-US" w:eastAsia="zh-CN" w:bidi="ar-SA"/>
        </w:rPr>
      </w:pPr>
      <w:r>
        <w:rPr>
          <w:rFonts w:hint="eastAsia" w:ascii="仿宋_GB2312" w:hAnsi="仿宋_GB2312" w:eastAsia="仿宋_GB2312" w:cs="仿宋_GB2312"/>
          <w:b/>
          <w:bCs/>
          <w:color w:val="000000"/>
          <w:kern w:val="0"/>
          <w:sz w:val="28"/>
          <w:szCs w:val="28"/>
          <w:lang w:val="en-US" w:eastAsia="zh-CN" w:bidi="ar-SA"/>
        </w:rPr>
        <w:t>1.预算编制有待更严格执行。</w:t>
      </w:r>
      <w:r>
        <w:rPr>
          <w:rFonts w:hint="eastAsia" w:ascii="仿宋_GB2312" w:hAnsi="仿宋_GB2312" w:eastAsia="仿宋_GB2312" w:cs="仿宋_GB2312"/>
          <w:b w:val="0"/>
          <w:bCs w:val="0"/>
          <w:kern w:val="0"/>
          <w:sz w:val="28"/>
          <w:szCs w:val="28"/>
          <w:highlight w:val="none"/>
          <w:lang w:val="en-US" w:eastAsia="zh-CN" w:bidi="ar-SA"/>
        </w:rPr>
        <w:t>预算编制与实际支出项目有的存在差异，专项支出有待进一步加强。</w:t>
      </w:r>
    </w:p>
    <w:p>
      <w:pPr>
        <w:keepNext w:val="0"/>
        <w:keepLines w:val="0"/>
        <w:pageBreakBefore w:val="0"/>
        <w:widowControl w:val="0"/>
        <w:pBdr>
          <w:bottom w:val="single" w:color="FFFFFF" w:sz="4" w:space="30"/>
        </w:pBdr>
        <w:tabs>
          <w:tab w:val="left" w:pos="1440"/>
        </w:tabs>
        <w:kinsoku/>
        <w:wordWrap/>
        <w:overflowPunct/>
        <w:topLinePunct w:val="0"/>
        <w:autoSpaceDE/>
        <w:autoSpaceDN/>
        <w:bidi w:val="0"/>
        <w:adjustRightInd/>
        <w:snapToGrid w:val="0"/>
        <w:spacing w:line="620" w:lineRule="exact"/>
        <w:ind w:firstLine="562" w:firstLineChars="20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b/>
          <w:bCs/>
          <w:color w:val="000000"/>
          <w:kern w:val="0"/>
          <w:sz w:val="28"/>
          <w:szCs w:val="28"/>
          <w:lang w:val="en-US" w:eastAsia="zh-CN" w:bidi="ar-SA"/>
        </w:rPr>
        <w:t>2.产业融合不够。</w:t>
      </w:r>
      <w:r>
        <w:rPr>
          <w:rFonts w:hint="eastAsia" w:ascii="仿宋_GB2312" w:hAnsi="仿宋_GB2312" w:eastAsia="仿宋_GB2312" w:cs="仿宋_GB2312"/>
          <w:color w:val="000000"/>
          <w:kern w:val="0"/>
          <w:sz w:val="28"/>
          <w:szCs w:val="28"/>
          <w:lang w:val="en-US" w:eastAsia="zh-CN" w:bidi="ar-SA"/>
        </w:rPr>
        <w:t>一产特色不够鲜明，缺乏配套的原料生产基地。二产连接两头不紧密，农产品精深加工不足，副产物综合利用程度低。三产向高端开发滞后，</w:t>
      </w:r>
      <w:r>
        <w:rPr>
          <w:rFonts w:hint="eastAsia" w:ascii="仿宋_GB2312" w:hAnsi="仿宋_GB2312" w:eastAsia="仿宋_GB2312" w:cs="仿宋_GB2312"/>
          <w:b w:val="0"/>
          <w:bCs w:val="0"/>
          <w:color w:val="auto"/>
          <w:sz w:val="28"/>
          <w:szCs w:val="28"/>
          <w:lang w:val="en-US" w:eastAsia="zh-CN"/>
        </w:rPr>
        <w:t>缺乏创新特色，产业链延伸不充分</w:t>
      </w:r>
      <w:r>
        <w:rPr>
          <w:rFonts w:hint="eastAsia" w:ascii="仿宋_GB2312" w:hAnsi="仿宋_GB2312" w:eastAsia="仿宋_GB2312" w:cs="仿宋_GB2312"/>
          <w:color w:val="000000"/>
          <w:kern w:val="0"/>
          <w:sz w:val="28"/>
          <w:szCs w:val="28"/>
          <w:lang w:val="en-US" w:eastAsia="zh-CN" w:bidi="ar-SA"/>
        </w:rPr>
        <w:t>。</w:t>
      </w:r>
    </w:p>
    <w:p>
      <w:pPr>
        <w:keepNext w:val="0"/>
        <w:keepLines w:val="0"/>
        <w:pageBreakBefore w:val="0"/>
        <w:widowControl w:val="0"/>
        <w:pBdr>
          <w:bottom w:val="single" w:color="FFFFFF" w:sz="4" w:space="30"/>
        </w:pBdr>
        <w:tabs>
          <w:tab w:val="left" w:pos="1440"/>
        </w:tabs>
        <w:kinsoku/>
        <w:wordWrap/>
        <w:overflowPunct/>
        <w:topLinePunct w:val="0"/>
        <w:autoSpaceDE/>
        <w:autoSpaceDN/>
        <w:bidi w:val="0"/>
        <w:adjustRightInd/>
        <w:snapToGrid w:val="0"/>
        <w:spacing w:line="620" w:lineRule="exact"/>
        <w:ind w:firstLine="562" w:firstLineChars="20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b/>
          <w:bCs/>
          <w:color w:val="000000"/>
          <w:kern w:val="0"/>
          <w:sz w:val="28"/>
          <w:szCs w:val="28"/>
          <w:lang w:val="en-US" w:eastAsia="zh-CN" w:bidi="ar-SA"/>
        </w:rPr>
        <w:t>3.龙头企业不强。</w:t>
      </w:r>
      <w:r>
        <w:rPr>
          <w:rFonts w:hint="eastAsia" w:ascii="仿宋_GB2312" w:hAnsi="仿宋_GB2312" w:eastAsia="仿宋_GB2312" w:cs="仿宋_GB2312"/>
          <w:color w:val="000000"/>
          <w:kern w:val="0"/>
          <w:sz w:val="28"/>
          <w:szCs w:val="28"/>
          <w:lang w:val="en-US" w:eastAsia="zh-CN" w:bidi="ar-SA"/>
        </w:rPr>
        <w:t xml:space="preserve">龙头企业数量虽多，但缺少领军全省甚至全国现代农业的大型企业。“小、弱、散”、头部企业不多不强的产业格局仍然是我市产业发展中的最大痛点。  </w:t>
      </w:r>
    </w:p>
    <w:p>
      <w:pPr>
        <w:keepNext w:val="0"/>
        <w:keepLines w:val="0"/>
        <w:pageBreakBefore w:val="0"/>
        <w:widowControl w:val="0"/>
        <w:pBdr>
          <w:bottom w:val="single" w:color="FFFFFF" w:sz="4" w:space="30"/>
        </w:pBdr>
        <w:tabs>
          <w:tab w:val="left" w:pos="1440"/>
        </w:tabs>
        <w:kinsoku/>
        <w:wordWrap/>
        <w:overflowPunct/>
        <w:topLinePunct w:val="0"/>
        <w:autoSpaceDE/>
        <w:autoSpaceDN/>
        <w:bidi w:val="0"/>
        <w:adjustRightInd/>
        <w:snapToGrid w:val="0"/>
        <w:spacing w:line="620" w:lineRule="exact"/>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color w:val="000000"/>
          <w:kern w:val="0"/>
          <w:sz w:val="28"/>
          <w:szCs w:val="28"/>
          <w:lang w:val="en-US" w:eastAsia="zh-CN" w:bidi="ar-SA"/>
        </w:rPr>
        <w:t>4.县域经济实力还不强。</w:t>
      </w:r>
      <w:r>
        <w:rPr>
          <w:rFonts w:hint="eastAsia" w:ascii="仿宋_GB2312" w:hAnsi="仿宋_GB2312" w:eastAsia="仿宋_GB2312" w:cs="仿宋_GB2312"/>
          <w:b w:val="0"/>
          <w:bCs w:val="0"/>
          <w:color w:val="000000"/>
          <w:kern w:val="0"/>
          <w:sz w:val="28"/>
          <w:szCs w:val="28"/>
          <w:lang w:val="en-US" w:eastAsia="zh-CN" w:bidi="ar-SA"/>
        </w:rPr>
        <w:t>城镇化率（62.1%）低于全国3.12个百分点；还没有全国百强县，6个县（市）中没有GDP过500亿元的，一般公共预算地方收入过10亿元的只有3个。</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下一步改进措施</w:t>
      </w:r>
    </w:p>
    <w:p>
      <w:pPr>
        <w:pStyle w:val="9"/>
        <w:numPr>
          <w:ilvl w:val="0"/>
          <w:numId w:val="0"/>
        </w:numPr>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2025年，我们将认真贯彻落实中央、省委农村工作会议精神和省农业农村厅部署要求，学习运用“千万工程”经验，大力实施“五千工程”，以“三化五行动”为抓手，加快推进重要领域和关键环节改革落地见效，做好“五篇文章”，确保乡村全面振兴取得新进展、农业农村现代化走在前列，奋力谱写中国式农业农村现代化岳阳新篇章！</w:t>
      </w:r>
    </w:p>
    <w:p>
      <w:pPr>
        <w:pStyle w:val="9"/>
        <w:numPr>
          <w:ilvl w:val="0"/>
          <w:numId w:val="0"/>
        </w:numPr>
        <w:ind w:firstLine="562"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eastAsia="zh-CN"/>
        </w:rPr>
        <w:t>1.做好“藏粮于地藏粮于技”文章，夯实粮食安全根基。</w:t>
      </w:r>
      <w:r>
        <w:rPr>
          <w:rFonts w:hint="eastAsia" w:ascii="仿宋_GB2312" w:hAnsi="仿宋_GB2312" w:eastAsia="仿宋_GB2312" w:cs="仿宋_GB2312"/>
          <w:sz w:val="28"/>
          <w:szCs w:val="28"/>
          <w:highlight w:val="none"/>
          <w:lang w:val="en-US" w:eastAsia="zh-CN"/>
        </w:rPr>
        <w:t>严格落实粮食安全党政同责</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坚持提单产、稳面积，集成良种、良机、良法、良田，发展现代设施农业，确保</w:t>
      </w:r>
      <w:r>
        <w:rPr>
          <w:rFonts w:hint="eastAsia" w:ascii="仿宋_GB2312" w:hAnsi="仿宋_GB2312" w:eastAsia="仿宋_GB2312" w:cs="仿宋_GB2312"/>
          <w:sz w:val="28"/>
          <w:szCs w:val="28"/>
          <w:highlight w:val="none"/>
        </w:rPr>
        <w:t>全年粮食播种面积稳定在728.5万亩、产量300万吨左右</w:t>
      </w:r>
      <w:r>
        <w:rPr>
          <w:rFonts w:hint="eastAsia" w:ascii="仿宋_GB2312" w:hAnsi="仿宋_GB2312" w:eastAsia="仿宋_GB2312" w:cs="仿宋_GB2312"/>
          <w:sz w:val="28"/>
          <w:szCs w:val="28"/>
          <w:highlight w:val="none"/>
          <w:lang w:eastAsia="zh-CN"/>
        </w:rPr>
        <w:t>，“菜篮子”农产品供应充足</w:t>
      </w:r>
      <w:r>
        <w:rPr>
          <w:rFonts w:hint="eastAsia" w:ascii="仿宋_GB2312" w:hAnsi="仿宋_GB2312" w:eastAsia="仿宋_GB2312" w:cs="仿宋_GB2312"/>
          <w:sz w:val="28"/>
          <w:szCs w:val="28"/>
          <w:highlight w:val="none"/>
        </w:rPr>
        <w:t>。</w:t>
      </w:r>
    </w:p>
    <w:p>
      <w:pPr>
        <w:pStyle w:val="9"/>
        <w:numPr>
          <w:ilvl w:val="0"/>
          <w:numId w:val="0"/>
        </w:numPr>
        <w:ind w:firstLine="562"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b/>
          <w:bCs/>
          <w:sz w:val="28"/>
          <w:szCs w:val="28"/>
          <w:highlight w:val="none"/>
          <w:lang w:eastAsia="zh-CN"/>
        </w:rPr>
        <w:t>2.做好“农民持续增收”文章，巩固拓展脱贫攻坚成果。</w:t>
      </w:r>
      <w:r>
        <w:rPr>
          <w:rFonts w:hint="eastAsia" w:ascii="仿宋_GB2312" w:hAnsi="仿宋_GB2312" w:eastAsia="仿宋_GB2312" w:cs="仿宋_GB2312"/>
          <w:sz w:val="28"/>
          <w:szCs w:val="28"/>
          <w:highlight w:val="none"/>
          <w:lang w:val="en-US" w:eastAsia="zh-CN"/>
        </w:rPr>
        <w:t>大力发展产业和促进就业，坚决守住不发生规模性返贫致贫底线，</w:t>
      </w:r>
      <w:r>
        <w:rPr>
          <w:rFonts w:hint="eastAsia" w:ascii="仿宋_GB2312" w:hAnsi="仿宋_GB2312" w:eastAsia="仿宋_GB2312" w:cs="仿宋_GB2312"/>
          <w:sz w:val="28"/>
          <w:szCs w:val="28"/>
          <w:highlight w:val="none"/>
          <w:lang w:eastAsia="zh-CN"/>
        </w:rPr>
        <w:t>力争</w:t>
      </w:r>
      <w:r>
        <w:rPr>
          <w:rFonts w:hint="eastAsia" w:ascii="仿宋_GB2312" w:hAnsi="仿宋_GB2312" w:eastAsia="仿宋_GB2312" w:cs="仿宋_GB2312"/>
          <w:sz w:val="28"/>
          <w:szCs w:val="28"/>
          <w:highlight w:val="none"/>
          <w:lang w:val="en-US" w:eastAsia="zh-CN"/>
        </w:rPr>
        <w:t>脱贫地区农民收入实现“四个高于”，</w:t>
      </w:r>
      <w:r>
        <w:rPr>
          <w:rFonts w:hint="eastAsia" w:ascii="仿宋_GB2312" w:hAnsi="仿宋_GB2312" w:eastAsia="仿宋_GB2312" w:cs="仿宋_GB2312"/>
          <w:sz w:val="28"/>
          <w:szCs w:val="28"/>
          <w:highlight w:val="none"/>
          <w:lang w:eastAsia="zh-CN"/>
        </w:rPr>
        <w:t>就业帮扶车间达到280家，</w:t>
      </w:r>
      <w:r>
        <w:rPr>
          <w:rFonts w:hint="eastAsia" w:ascii="仿宋_GB2312" w:hAnsi="仿宋_GB2312" w:eastAsia="仿宋_GB2312" w:cs="仿宋_GB2312"/>
          <w:sz w:val="28"/>
          <w:szCs w:val="28"/>
          <w:highlight w:val="none"/>
          <w:lang w:val="en-US" w:eastAsia="zh-CN"/>
        </w:rPr>
        <w:t>脱贫人口务工就业规模</w:t>
      </w:r>
      <w:r>
        <w:rPr>
          <w:rFonts w:hint="eastAsia" w:ascii="仿宋_GB2312" w:hAnsi="仿宋_GB2312" w:eastAsia="仿宋_GB2312" w:cs="仿宋_GB2312"/>
          <w:sz w:val="28"/>
          <w:szCs w:val="28"/>
          <w:highlight w:val="none"/>
          <w:lang w:eastAsia="zh-CN"/>
        </w:rPr>
        <w:t>稳定在12</w:t>
      </w:r>
      <w:r>
        <w:rPr>
          <w:rFonts w:hint="eastAsia" w:ascii="仿宋_GB2312" w:hAnsi="仿宋_GB2312" w:eastAsia="仿宋_GB2312" w:cs="仿宋_GB2312"/>
          <w:sz w:val="28"/>
          <w:szCs w:val="28"/>
          <w:highlight w:val="none"/>
          <w:lang w:val="en-US" w:eastAsia="zh-CN"/>
        </w:rPr>
        <w:t>万人</w:t>
      </w:r>
      <w:r>
        <w:rPr>
          <w:rFonts w:hint="eastAsia" w:ascii="仿宋_GB2312" w:hAnsi="仿宋_GB2312" w:eastAsia="仿宋_GB2312" w:cs="仿宋_GB2312"/>
          <w:sz w:val="28"/>
          <w:szCs w:val="28"/>
          <w:highlight w:val="none"/>
          <w:lang w:eastAsia="zh-CN"/>
        </w:rPr>
        <w:t>以上</w:t>
      </w:r>
      <w:r>
        <w:rPr>
          <w:rFonts w:hint="eastAsia" w:ascii="仿宋_GB2312" w:hAnsi="仿宋_GB2312" w:eastAsia="仿宋_GB2312" w:cs="仿宋_GB2312"/>
          <w:sz w:val="28"/>
          <w:szCs w:val="28"/>
          <w:highlight w:val="none"/>
          <w:lang w:val="en-US" w:eastAsia="zh-CN"/>
        </w:rPr>
        <w:t>。</w:t>
      </w:r>
    </w:p>
    <w:p>
      <w:pPr>
        <w:pStyle w:val="9"/>
        <w:numPr>
          <w:ilvl w:val="0"/>
          <w:numId w:val="0"/>
        </w:numPr>
        <w:ind w:firstLine="562"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b/>
          <w:bCs/>
          <w:sz w:val="28"/>
          <w:szCs w:val="28"/>
          <w:highlight w:val="none"/>
          <w:lang w:eastAsia="zh-CN"/>
        </w:rPr>
        <w:t>3.做好“乡村特色产业”文章，推动产业提质升级。</w:t>
      </w:r>
      <w:r>
        <w:rPr>
          <w:rFonts w:hint="eastAsia" w:ascii="仿宋_GB2312" w:hAnsi="仿宋_GB2312" w:eastAsia="仿宋_GB2312" w:cs="仿宋_GB2312"/>
          <w:sz w:val="28"/>
          <w:szCs w:val="28"/>
          <w:highlight w:val="none"/>
          <w:lang w:eastAsia="zh-CN"/>
        </w:rPr>
        <w:t>狠抓现代农业和绿色食品加工产业链建设、</w:t>
      </w:r>
      <w:r>
        <w:rPr>
          <w:rFonts w:hint="eastAsia" w:ascii="仿宋_GB2312" w:hAnsi="仿宋_GB2312" w:eastAsia="仿宋_GB2312" w:cs="仿宋_GB2312"/>
          <w:sz w:val="28"/>
          <w:szCs w:val="28"/>
          <w:highlight w:val="none"/>
          <w:lang w:val="en-US" w:eastAsia="zh-CN"/>
        </w:rPr>
        <w:t>县域经济</w:t>
      </w:r>
      <w:r>
        <w:rPr>
          <w:rFonts w:hint="eastAsia" w:ascii="仿宋_GB2312" w:hAnsi="仿宋_GB2312" w:eastAsia="仿宋_GB2312" w:cs="仿宋_GB2312"/>
          <w:sz w:val="28"/>
          <w:szCs w:val="28"/>
          <w:highlight w:val="none"/>
          <w:lang w:eastAsia="zh-CN"/>
        </w:rPr>
        <w:t>发展工作，</w:t>
      </w:r>
      <w:r>
        <w:rPr>
          <w:rFonts w:hint="eastAsia" w:ascii="仿宋_GB2312" w:hAnsi="仿宋_GB2312" w:eastAsia="仿宋_GB2312" w:cs="仿宋_GB2312"/>
          <w:sz w:val="28"/>
          <w:szCs w:val="28"/>
          <w:highlight w:val="none"/>
        </w:rPr>
        <w:t>力争全市规模以上农产品加工业总产值达到1900亿元，</w:t>
      </w:r>
      <w:r>
        <w:rPr>
          <w:rFonts w:hint="eastAsia" w:ascii="仿宋_GB2312" w:hAnsi="仿宋_GB2312" w:eastAsia="仿宋_GB2312" w:cs="仿宋_GB2312"/>
          <w:sz w:val="28"/>
          <w:szCs w:val="28"/>
          <w:highlight w:val="none"/>
          <w:lang w:eastAsia="zh-CN"/>
        </w:rPr>
        <w:t>新增GDP过500亿元的县市1个、进入中部百强县3个以上。</w:t>
      </w:r>
    </w:p>
    <w:p>
      <w:pPr>
        <w:pStyle w:val="9"/>
        <w:numPr>
          <w:ilvl w:val="0"/>
          <w:numId w:val="0"/>
        </w:numPr>
        <w:ind w:firstLine="562"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b/>
          <w:bCs/>
          <w:sz w:val="28"/>
          <w:szCs w:val="28"/>
          <w:highlight w:val="none"/>
          <w:lang w:eastAsia="zh-CN"/>
        </w:rPr>
        <w:t>4.做好“城乡融合发展”文章，加快和美乡村建设。</w:t>
      </w:r>
      <w:r>
        <w:rPr>
          <w:rFonts w:hint="eastAsia" w:ascii="仿宋_GB2312" w:hAnsi="仿宋_GB2312" w:eastAsia="仿宋_GB2312" w:cs="仿宋_GB2312"/>
          <w:sz w:val="28"/>
          <w:szCs w:val="28"/>
          <w:highlight w:val="none"/>
          <w:lang w:eastAsia="zh-CN"/>
        </w:rPr>
        <w:t>持续</w:t>
      </w:r>
      <w:r>
        <w:rPr>
          <w:rFonts w:hint="eastAsia" w:ascii="仿宋_GB2312" w:hAnsi="仿宋_GB2312" w:eastAsia="仿宋_GB2312" w:cs="仿宋_GB2312"/>
          <w:sz w:val="28"/>
          <w:szCs w:val="28"/>
          <w:highlight w:val="none"/>
          <w:lang w:val="en-US" w:eastAsia="zh-CN"/>
        </w:rPr>
        <w:t>推动农村基础设施建设提质增效，</w:t>
      </w:r>
      <w:r>
        <w:rPr>
          <w:rFonts w:hint="eastAsia" w:ascii="仿宋_GB2312" w:hAnsi="仿宋_GB2312" w:eastAsia="仿宋_GB2312" w:cs="仿宋_GB2312"/>
          <w:sz w:val="28"/>
          <w:szCs w:val="28"/>
          <w:highlight w:val="none"/>
        </w:rPr>
        <w:t>一体化调整城乡基本公共服务布局，</w:t>
      </w:r>
      <w:r>
        <w:rPr>
          <w:rFonts w:hint="eastAsia" w:ascii="仿宋_GB2312" w:hAnsi="仿宋_GB2312" w:eastAsia="仿宋_GB2312" w:cs="仿宋_GB2312"/>
          <w:sz w:val="28"/>
          <w:szCs w:val="28"/>
          <w:highlight w:val="none"/>
          <w:lang w:eastAsia="zh-CN"/>
        </w:rPr>
        <w:t>打好农村人居环境整治提升五年行动收官战，</w:t>
      </w:r>
      <w:r>
        <w:rPr>
          <w:rFonts w:hint="eastAsia" w:ascii="仿宋_GB2312" w:hAnsi="仿宋_GB2312" w:eastAsia="仿宋_GB2312" w:cs="仿宋_GB2312"/>
          <w:sz w:val="28"/>
          <w:szCs w:val="28"/>
          <w:highlight w:val="none"/>
          <w:lang w:val="en-US" w:eastAsia="zh-CN"/>
        </w:rPr>
        <w:t>统筹抓好厕所、垃圾、污水“三大革命”，力争建设国家美丽宜居村庄1个、省级美丽乡村15个、市级和美乡村20个。</w:t>
      </w:r>
    </w:p>
    <w:p>
      <w:pPr>
        <w:pStyle w:val="9"/>
        <w:numPr>
          <w:ilvl w:val="0"/>
          <w:numId w:val="0"/>
        </w:numPr>
        <w:ind w:firstLine="562"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lang w:eastAsia="zh-CN"/>
        </w:rPr>
        <w:t>5.做好“乡村治理”文章，确保农村稳定有序。</w:t>
      </w:r>
      <w:r>
        <w:rPr>
          <w:rFonts w:hint="eastAsia" w:ascii="仿宋_GB2312" w:hAnsi="仿宋_GB2312" w:eastAsia="仿宋_GB2312" w:cs="仿宋_GB2312"/>
          <w:sz w:val="28"/>
          <w:szCs w:val="28"/>
          <w:highlight w:val="none"/>
          <w:lang w:val="en-US" w:eastAsia="zh-CN"/>
        </w:rPr>
        <w:t>建立乡村治理联席工作机制，大力推行“群英断是非”工作法，建设一批法治乡村、清廉乡村、平安乡村</w:t>
      </w:r>
      <w:r>
        <w:rPr>
          <w:rFonts w:hint="eastAsia" w:ascii="仿宋_GB2312" w:hAnsi="仿宋_GB2312" w:eastAsia="仿宋_GB2312" w:cs="仿宋_GB2312"/>
          <w:sz w:val="28"/>
          <w:szCs w:val="28"/>
          <w:highlight w:val="none"/>
          <w:lang w:eastAsia="zh-CN"/>
        </w:rPr>
        <w:t>。深入实施文明乡风建设工程，</w:t>
      </w:r>
      <w:r>
        <w:rPr>
          <w:rFonts w:hint="eastAsia" w:ascii="仿宋_GB2312" w:hAnsi="仿宋_GB2312" w:eastAsia="仿宋_GB2312" w:cs="仿宋_GB2312"/>
          <w:sz w:val="28"/>
          <w:szCs w:val="28"/>
          <w:highlight w:val="none"/>
          <w:lang w:val="en-US" w:eastAsia="zh-CN"/>
        </w:rPr>
        <w:t>持续推进农村移风易俗</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巩固整治红白喜事大操大办成果</w:t>
      </w:r>
      <w:r>
        <w:rPr>
          <w:rFonts w:hint="eastAsia" w:ascii="仿宋_GB2312" w:hAnsi="仿宋_GB2312" w:eastAsia="仿宋_GB2312" w:cs="仿宋_GB2312"/>
          <w:sz w:val="28"/>
          <w:szCs w:val="28"/>
          <w:highlight w:val="none"/>
          <w:lang w:eastAsia="zh-CN"/>
        </w:rPr>
        <w:t>。</w:t>
      </w:r>
    </w:p>
    <w:p>
      <w:pPr>
        <w:keepNext w:val="0"/>
        <w:keepLines w:val="0"/>
        <w:pageBreakBefore w:val="0"/>
        <w:widowControl/>
        <w:kinsoku/>
        <w:wordWrap/>
        <w:overflowPunct/>
        <w:topLinePunct w:val="0"/>
        <w:autoSpaceDE/>
        <w:autoSpaceDN/>
        <w:bidi w:val="0"/>
        <w:adjustRightInd/>
        <w:snapToGrid/>
        <w:spacing w:line="640" w:lineRule="exact"/>
        <w:ind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项目支出绩效自评表</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政府性基金预算支出情况表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无</w:t>
      </w:r>
      <w:r>
        <w:rPr>
          <w:rFonts w:hint="eastAsia" w:ascii="仿宋_GB2312" w:hAnsi="仿宋_GB2312" w:eastAsia="仿宋_GB2312" w:cs="仿宋_GB2312"/>
          <w:sz w:val="28"/>
          <w:szCs w:val="28"/>
          <w:lang w:eastAsia="zh-CN"/>
        </w:rPr>
        <w:t>）</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国有资本经营预算支出情况表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无</w:t>
      </w:r>
      <w:r>
        <w:rPr>
          <w:rFonts w:hint="eastAsia" w:ascii="仿宋_GB2312" w:hAnsi="仿宋_GB2312" w:eastAsia="仿宋_GB2312" w:cs="仿宋_GB2312"/>
          <w:sz w:val="28"/>
          <w:szCs w:val="28"/>
          <w:lang w:eastAsia="zh-CN"/>
        </w:rPr>
        <w:t>）</w:t>
      </w:r>
    </w:p>
    <w:p>
      <w:pPr>
        <w:keepNext w:val="0"/>
        <w:keepLines w:val="0"/>
        <w:pageBreakBefore w:val="0"/>
        <w:widowControl/>
        <w:kinsoku/>
        <w:wordWrap/>
        <w:overflowPunct/>
        <w:topLinePunct w:val="0"/>
        <w:autoSpaceDE/>
        <w:autoSpaceDN/>
        <w:bidi w:val="0"/>
        <w:adjustRightInd/>
        <w:snapToGrid/>
        <w:spacing w:line="64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社会保险基金预算支出情况表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无</w:t>
      </w:r>
      <w:r>
        <w:rPr>
          <w:rFonts w:hint="eastAsia" w:ascii="仿宋_GB2312" w:hAnsi="仿宋_GB2312" w:eastAsia="仿宋_GB2312" w:cs="仿宋_GB2312"/>
          <w:sz w:val="28"/>
          <w:szCs w:val="28"/>
          <w:lang w:eastAsia="zh-CN"/>
        </w:rPr>
        <w:t>）</w:t>
      </w:r>
    </w:p>
    <w:p>
      <w:pPr>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1B97D"/>
    <w:multiLevelType w:val="singleLevel"/>
    <w:tmpl w:val="0F41B97D"/>
    <w:lvl w:ilvl="0" w:tentative="0">
      <w:start w:val="8"/>
      <w:numFmt w:val="chineseCounting"/>
      <w:suff w:val="nothing"/>
      <w:lvlText w:val="%1、"/>
      <w:lvlJc w:val="left"/>
      <w:rPr>
        <w:rFonts w:hint="eastAsia"/>
      </w:rPr>
    </w:lvl>
  </w:abstractNum>
  <w:abstractNum w:abstractNumId="1">
    <w:nsid w:val="2428E058"/>
    <w:multiLevelType w:val="singleLevel"/>
    <w:tmpl w:val="2428E058"/>
    <w:lvl w:ilvl="0" w:tentative="0">
      <w:start w:val="2"/>
      <w:numFmt w:val="chineseCounting"/>
      <w:suff w:val="nothing"/>
      <w:lvlText w:val="（%1）"/>
      <w:lvlJc w:val="left"/>
      <w:rPr>
        <w:rFonts w:hint="eastAsia"/>
      </w:rPr>
    </w:lvl>
  </w:abstractNum>
  <w:abstractNum w:abstractNumId="2">
    <w:nsid w:val="66540D07"/>
    <w:multiLevelType w:val="singleLevel"/>
    <w:tmpl w:val="66540D07"/>
    <w:lvl w:ilvl="0" w:tentative="0">
      <w:start w:val="1"/>
      <w:numFmt w:val="chineseCounting"/>
      <w:suff w:val="nothing"/>
      <w:lvlText w:val="%1、"/>
      <w:lvlJc w:val="left"/>
      <w:pPr>
        <w:ind w:left="-8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C5005"/>
    <w:rsid w:val="02881E0B"/>
    <w:rsid w:val="02B70580"/>
    <w:rsid w:val="05273C7A"/>
    <w:rsid w:val="053C5005"/>
    <w:rsid w:val="07582159"/>
    <w:rsid w:val="0DF34686"/>
    <w:rsid w:val="114B1820"/>
    <w:rsid w:val="134712AF"/>
    <w:rsid w:val="15FF7E3A"/>
    <w:rsid w:val="174E77A0"/>
    <w:rsid w:val="18181E97"/>
    <w:rsid w:val="19977D8A"/>
    <w:rsid w:val="1B096A2F"/>
    <w:rsid w:val="1B3F05DC"/>
    <w:rsid w:val="1B4B06D5"/>
    <w:rsid w:val="1BC2741A"/>
    <w:rsid w:val="1D4A11F1"/>
    <w:rsid w:val="1E1021C0"/>
    <w:rsid w:val="1E1F7BD1"/>
    <w:rsid w:val="20D506EC"/>
    <w:rsid w:val="214F23CD"/>
    <w:rsid w:val="24AD1138"/>
    <w:rsid w:val="250B5853"/>
    <w:rsid w:val="252A5FC8"/>
    <w:rsid w:val="25A2704B"/>
    <w:rsid w:val="27F4659B"/>
    <w:rsid w:val="2A4D125C"/>
    <w:rsid w:val="2DDE30A9"/>
    <w:rsid w:val="2E835E5F"/>
    <w:rsid w:val="2ED95569"/>
    <w:rsid w:val="30012D9C"/>
    <w:rsid w:val="313666CD"/>
    <w:rsid w:val="314B114B"/>
    <w:rsid w:val="39B85B5E"/>
    <w:rsid w:val="3A983342"/>
    <w:rsid w:val="3B3E44A0"/>
    <w:rsid w:val="3C8105C7"/>
    <w:rsid w:val="3E29401B"/>
    <w:rsid w:val="3F843929"/>
    <w:rsid w:val="3FA9003A"/>
    <w:rsid w:val="419A3831"/>
    <w:rsid w:val="429F2E1F"/>
    <w:rsid w:val="430F7393"/>
    <w:rsid w:val="43DB57E2"/>
    <w:rsid w:val="45AB7FDC"/>
    <w:rsid w:val="48863320"/>
    <w:rsid w:val="48BA78DE"/>
    <w:rsid w:val="4A781997"/>
    <w:rsid w:val="4D37030D"/>
    <w:rsid w:val="50921617"/>
    <w:rsid w:val="537006BE"/>
    <w:rsid w:val="551C1B9A"/>
    <w:rsid w:val="59C57D92"/>
    <w:rsid w:val="5ABA3CE7"/>
    <w:rsid w:val="5BCA163E"/>
    <w:rsid w:val="5F5A6E8A"/>
    <w:rsid w:val="62241957"/>
    <w:rsid w:val="62A34AE2"/>
    <w:rsid w:val="64A16B26"/>
    <w:rsid w:val="683A2790"/>
    <w:rsid w:val="68CB7E7A"/>
    <w:rsid w:val="6B2F50E5"/>
    <w:rsid w:val="6E0E551E"/>
    <w:rsid w:val="7112100E"/>
    <w:rsid w:val="723502BB"/>
    <w:rsid w:val="760C1943"/>
    <w:rsid w:val="79F34ABC"/>
    <w:rsid w:val="7C9F5482"/>
    <w:rsid w:val="7CA575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pPr>
    <w:rPr>
      <w:rFonts w:ascii="Times New Roman" w:hAnsi="Times New Roman"/>
      <w:szCs w:val="20"/>
    </w:rPr>
  </w:style>
  <w:style w:type="paragraph" w:styleId="4">
    <w:name w:val="footnote text"/>
    <w:basedOn w:val="1"/>
    <w:qFormat/>
    <w:uiPriority w:val="0"/>
    <w:pPr>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BodyText1I2"/>
    <w:basedOn w:val="10"/>
    <w:qFormat/>
    <w:uiPriority w:val="0"/>
    <w:pPr>
      <w:spacing w:after="120"/>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10">
    <w:name w:val="BodyTextIndent"/>
    <w:basedOn w:val="1"/>
    <w:next w:val="1"/>
    <w:qFormat/>
    <w:uiPriority w:val="0"/>
    <w:pPr>
      <w:spacing w:after="120"/>
      <w:ind w:left="420" w:leftChars="200"/>
      <w:jc w:val="both"/>
      <w:textAlignment w:val="baseline"/>
    </w:pPr>
    <w:rPr>
      <w:rFonts w:ascii="Times New Roman" w:hAnsi="Times New Roman" w:eastAsia="宋体"/>
      <w:kern w:val="2"/>
      <w:sz w:val="21"/>
      <w:szCs w:val="24"/>
      <w:lang w:val="en-US" w:eastAsia="zh-CN" w:bidi="ar-SA"/>
    </w:rPr>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NormalCharacter"/>
    <w:basedOn w:val="8"/>
    <w:link w:val="13"/>
    <w:qFormat/>
    <w:uiPriority w:val="0"/>
    <w:rPr>
      <w:rFonts w:ascii="Times New Roman" w:hAnsi="Times New Roman" w:eastAsia="宋体" w:cs="Times New Roman"/>
      <w:szCs w:val="20"/>
    </w:rPr>
  </w:style>
  <w:style w:type="paragraph" w:customStyle="1" w:styleId="13">
    <w:name w:val="UserStyle_1"/>
    <w:basedOn w:val="1"/>
    <w:link w:val="12"/>
    <w:qFormat/>
    <w:uiPriority w:val="0"/>
    <w:pPr>
      <w:tabs>
        <w:tab w:val="left" w:pos="4665"/>
        <w:tab w:val="left" w:pos="8970"/>
      </w:tabs>
      <w:ind w:firstLine="400"/>
      <w:textAlignment w:val="baseline"/>
    </w:pPr>
    <w:rPr>
      <w:rFonts w:ascii="Times New Roman" w:hAnsi="Times New Roman" w:eastAsia="宋体" w:cs="Times New Roman"/>
      <w:szCs w:val="20"/>
    </w:rPr>
  </w:style>
  <w:style w:type="paragraph" w:customStyle="1" w:styleId="14">
    <w:name w:val="_Style 1"/>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2023-05-25T07:33:00Z</dcterms:created>
  <dc:creator>贵琳</dc:creator>
  <cp:lastModifiedBy>张津慎</cp:lastModifiedBy>
  <dcterms:modified xsi:type="dcterms:W3CDTF">2025-06-20T06:43:01Z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A49162B583EF4C9C82131FD3F7B8660E</vt:lpwstr>
  </property>
</Properties>
</file>